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30" w:rsidRDefault="00085830" w:rsidP="00F70FEB">
      <w:pPr>
        <w:tabs>
          <w:tab w:val="center" w:pos="4513"/>
          <w:tab w:val="right" w:pos="9026"/>
        </w:tabs>
        <w:spacing w:after="240"/>
        <w:jc w:val="center"/>
        <w:rPr>
          <w:b/>
          <w:sz w:val="32"/>
          <w:szCs w:val="32"/>
        </w:rPr>
      </w:pPr>
      <w:r>
        <w:rPr>
          <w:b/>
          <w:sz w:val="32"/>
          <w:szCs w:val="32"/>
        </w:rPr>
        <w:t>Appendix 1</w:t>
      </w:r>
    </w:p>
    <w:p w:rsidR="00ED57C1" w:rsidRPr="00177982" w:rsidRDefault="000D6B93" w:rsidP="00F70FEB">
      <w:pPr>
        <w:tabs>
          <w:tab w:val="center" w:pos="4513"/>
          <w:tab w:val="right" w:pos="9026"/>
        </w:tabs>
        <w:spacing w:after="240"/>
        <w:jc w:val="center"/>
        <w:rPr>
          <w:sz w:val="32"/>
          <w:szCs w:val="32"/>
        </w:rPr>
      </w:pPr>
      <w:r w:rsidRPr="00177982">
        <w:rPr>
          <w:b/>
          <w:sz w:val="32"/>
          <w:szCs w:val="32"/>
        </w:rPr>
        <w:t>Joint Spatial Plan</w:t>
      </w:r>
      <w:r w:rsidR="00A87F48" w:rsidRPr="00177982">
        <w:rPr>
          <w:b/>
          <w:sz w:val="32"/>
          <w:szCs w:val="32"/>
        </w:rPr>
        <w:t xml:space="preserve"> </w:t>
      </w:r>
      <w:r w:rsidR="00A3004E" w:rsidRPr="00177982">
        <w:rPr>
          <w:b/>
          <w:sz w:val="32"/>
          <w:szCs w:val="32"/>
        </w:rPr>
        <w:t xml:space="preserve">for Oxfordshire </w:t>
      </w:r>
      <w:r w:rsidR="00A87F48" w:rsidRPr="00177982">
        <w:rPr>
          <w:b/>
          <w:sz w:val="32"/>
          <w:szCs w:val="32"/>
        </w:rPr>
        <w:t>(JSP)</w:t>
      </w:r>
      <w:r w:rsidR="008555C7" w:rsidRPr="00177982">
        <w:rPr>
          <w:b/>
          <w:sz w:val="32"/>
          <w:szCs w:val="32"/>
        </w:rPr>
        <w:t xml:space="preserve">: </w:t>
      </w:r>
      <w:r w:rsidR="00ED57C1" w:rsidRPr="00177982">
        <w:rPr>
          <w:b/>
          <w:sz w:val="32"/>
          <w:szCs w:val="32"/>
        </w:rPr>
        <w:t>Business Case</w:t>
      </w:r>
    </w:p>
    <w:p w:rsidR="00ED57C1" w:rsidRPr="00FE5E2D" w:rsidRDefault="00ED57C1" w:rsidP="00FE5E2D">
      <w:pPr>
        <w:spacing w:before="120" w:after="120"/>
        <w:rPr>
          <w:rFonts w:eastAsia="Times New Roman"/>
          <w:b/>
          <w:bCs/>
          <w:iCs/>
          <w:u w:val="single"/>
          <w:lang w:eastAsia="en-GB"/>
        </w:rPr>
      </w:pPr>
      <w:r w:rsidRPr="00FE5E2D">
        <w:rPr>
          <w:rFonts w:eastAsia="Times New Roman"/>
          <w:b/>
          <w:bCs/>
          <w:iCs/>
          <w:u w:val="single"/>
          <w:lang w:eastAsia="en-GB"/>
        </w:rPr>
        <w:t>Introduction</w:t>
      </w:r>
    </w:p>
    <w:p w:rsidR="00593205" w:rsidRPr="00593205" w:rsidRDefault="00CC7EBA" w:rsidP="00593205">
      <w:pPr>
        <w:pStyle w:val="ListParagraph"/>
        <w:numPr>
          <w:ilvl w:val="0"/>
          <w:numId w:val="49"/>
        </w:numPr>
        <w:rPr>
          <w:rFonts w:eastAsiaTheme="majorEastAsia"/>
          <w:bCs/>
          <w:iCs/>
          <w:sz w:val="22"/>
          <w:szCs w:val="22"/>
        </w:rPr>
      </w:pPr>
      <w:r w:rsidRPr="00593205">
        <w:rPr>
          <w:rFonts w:eastAsia="Times New Roman"/>
          <w:bCs/>
          <w:iCs/>
          <w:sz w:val="22"/>
          <w:szCs w:val="22"/>
          <w:lang w:eastAsia="en-GB"/>
        </w:rPr>
        <w:t>This document sets out the case for the preparing a joint spatial plan for Oxfordshire, and the financial case (both costs and savings) of preparing it.</w:t>
      </w:r>
      <w:r w:rsidR="00593205" w:rsidRPr="00593205">
        <w:rPr>
          <w:rFonts w:eastAsia="Times New Roman"/>
          <w:bCs/>
          <w:iCs/>
          <w:sz w:val="22"/>
          <w:szCs w:val="22"/>
          <w:lang w:eastAsia="en-GB"/>
        </w:rPr>
        <w:t xml:space="preserve">  </w:t>
      </w:r>
      <w:r w:rsidR="00593205" w:rsidRPr="00593205">
        <w:rPr>
          <w:rFonts w:eastAsiaTheme="majorEastAsia"/>
          <w:bCs/>
          <w:iCs/>
          <w:sz w:val="22"/>
          <w:szCs w:val="22"/>
        </w:rPr>
        <w:t xml:space="preserve">This business case is predicated upon the decision of the </w:t>
      </w:r>
      <w:r w:rsidR="00331D81">
        <w:rPr>
          <w:rFonts w:eastAsiaTheme="majorEastAsia"/>
          <w:bCs/>
          <w:iCs/>
          <w:sz w:val="22"/>
          <w:szCs w:val="22"/>
        </w:rPr>
        <w:t xml:space="preserve">Oxfordshire </w:t>
      </w:r>
      <w:r w:rsidR="00593205" w:rsidRPr="00593205">
        <w:rPr>
          <w:rFonts w:eastAsiaTheme="majorEastAsia"/>
          <w:bCs/>
          <w:iCs/>
          <w:sz w:val="22"/>
          <w:szCs w:val="22"/>
        </w:rPr>
        <w:t>Growth Board to commence the project without requiring a formal commitment to either a statutory or non-statutory route until the project reaches the critical milestone to do so.</w:t>
      </w:r>
    </w:p>
    <w:p w:rsidR="00BA2360" w:rsidRDefault="00BA2360" w:rsidP="00BA2360">
      <w:pPr>
        <w:pStyle w:val="ListParagraph"/>
        <w:spacing w:before="120" w:after="120"/>
        <w:ind w:left="709"/>
        <w:rPr>
          <w:rFonts w:eastAsia="Times New Roman"/>
          <w:bCs/>
          <w:iCs/>
          <w:sz w:val="22"/>
          <w:szCs w:val="22"/>
          <w:lang w:eastAsia="en-GB"/>
        </w:rPr>
      </w:pPr>
    </w:p>
    <w:p w:rsidR="008E1440" w:rsidRPr="00BA2360" w:rsidRDefault="00ED57C1" w:rsidP="00A027C9">
      <w:pPr>
        <w:pStyle w:val="ListParagraph"/>
        <w:numPr>
          <w:ilvl w:val="0"/>
          <w:numId w:val="49"/>
        </w:numPr>
        <w:spacing w:before="120" w:after="120"/>
        <w:rPr>
          <w:rFonts w:eastAsia="Times New Roman"/>
          <w:bCs/>
          <w:iCs/>
          <w:sz w:val="22"/>
          <w:szCs w:val="22"/>
          <w:lang w:eastAsia="en-GB"/>
        </w:rPr>
      </w:pPr>
      <w:r w:rsidRPr="00BA2360">
        <w:rPr>
          <w:rFonts w:eastAsia="Times New Roman"/>
          <w:bCs/>
          <w:iCs/>
          <w:sz w:val="22"/>
          <w:szCs w:val="22"/>
          <w:lang w:eastAsia="en-GB"/>
        </w:rPr>
        <w:t>This business case proposes th</w:t>
      </w:r>
      <w:r w:rsidR="00D463E1" w:rsidRPr="00BA2360">
        <w:rPr>
          <w:rFonts w:eastAsia="Times New Roman"/>
          <w:bCs/>
          <w:iCs/>
          <w:sz w:val="22"/>
          <w:szCs w:val="22"/>
          <w:lang w:eastAsia="en-GB"/>
        </w:rPr>
        <w:t xml:space="preserve">at the </w:t>
      </w:r>
      <w:r w:rsidR="007769CE" w:rsidRPr="00BA2360">
        <w:rPr>
          <w:rFonts w:eastAsia="Times New Roman"/>
          <w:bCs/>
          <w:iCs/>
          <w:sz w:val="22"/>
          <w:szCs w:val="22"/>
          <w:lang w:eastAsia="en-GB"/>
        </w:rPr>
        <w:t xml:space="preserve">Oxfordshire </w:t>
      </w:r>
      <w:r w:rsidR="00D463E1" w:rsidRPr="00BA2360">
        <w:rPr>
          <w:rFonts w:eastAsia="Times New Roman"/>
          <w:bCs/>
          <w:iCs/>
          <w:sz w:val="22"/>
          <w:szCs w:val="22"/>
          <w:lang w:eastAsia="en-GB"/>
        </w:rPr>
        <w:t xml:space="preserve">Growth Board </w:t>
      </w:r>
      <w:r w:rsidR="00736AAE">
        <w:rPr>
          <w:rFonts w:eastAsia="Times New Roman"/>
          <w:bCs/>
          <w:iCs/>
          <w:sz w:val="22"/>
          <w:szCs w:val="22"/>
          <w:lang w:eastAsia="en-GB"/>
        </w:rPr>
        <w:t>recommends that Oxfordshire Authorities</w:t>
      </w:r>
      <w:r w:rsidR="00736AAE" w:rsidRPr="00BA2360">
        <w:rPr>
          <w:rFonts w:eastAsia="Times New Roman"/>
          <w:bCs/>
          <w:iCs/>
          <w:sz w:val="22"/>
          <w:szCs w:val="22"/>
          <w:lang w:eastAsia="en-GB"/>
        </w:rPr>
        <w:t xml:space="preserve"> </w:t>
      </w:r>
      <w:r w:rsidR="00736AAE">
        <w:rPr>
          <w:rFonts w:eastAsia="Times New Roman"/>
          <w:bCs/>
          <w:iCs/>
          <w:sz w:val="22"/>
          <w:szCs w:val="22"/>
          <w:lang w:eastAsia="en-GB"/>
        </w:rPr>
        <w:t xml:space="preserve">agree to </w:t>
      </w:r>
      <w:r w:rsidR="00D463E1" w:rsidRPr="00BA2360">
        <w:rPr>
          <w:rFonts w:eastAsia="Times New Roman"/>
          <w:bCs/>
          <w:iCs/>
          <w:sz w:val="22"/>
          <w:szCs w:val="22"/>
          <w:lang w:eastAsia="en-GB"/>
        </w:rPr>
        <w:t>th</w:t>
      </w:r>
      <w:r w:rsidRPr="00BA2360">
        <w:rPr>
          <w:rFonts w:eastAsia="Times New Roman"/>
          <w:bCs/>
          <w:iCs/>
          <w:sz w:val="22"/>
          <w:szCs w:val="22"/>
          <w:lang w:eastAsia="en-GB"/>
        </w:rPr>
        <w:t>e development of a Joint Spatial Plan (JSP) for Oxfordshire</w:t>
      </w:r>
      <w:r w:rsidR="00D277F6" w:rsidRPr="00BA2360">
        <w:rPr>
          <w:rFonts w:eastAsia="Times New Roman"/>
          <w:bCs/>
          <w:iCs/>
          <w:sz w:val="22"/>
          <w:szCs w:val="22"/>
          <w:lang w:eastAsia="en-GB"/>
        </w:rPr>
        <w:t xml:space="preserve">. </w:t>
      </w:r>
      <w:r w:rsidR="001461E4">
        <w:rPr>
          <w:rFonts w:eastAsia="Times New Roman"/>
          <w:bCs/>
          <w:iCs/>
          <w:sz w:val="22"/>
          <w:szCs w:val="22"/>
          <w:lang w:eastAsia="en-GB"/>
        </w:rPr>
        <w:t xml:space="preserve"> </w:t>
      </w:r>
      <w:r w:rsidR="00DC5AC0" w:rsidRPr="00BA2360">
        <w:rPr>
          <w:rFonts w:eastAsia="Times New Roman"/>
          <w:bCs/>
          <w:iCs/>
          <w:sz w:val="22"/>
          <w:szCs w:val="22"/>
          <w:lang w:eastAsia="en-GB"/>
        </w:rPr>
        <w:t xml:space="preserve">The project is anticipated to take </w:t>
      </w:r>
      <w:r w:rsidR="00811330" w:rsidRPr="00BA2360">
        <w:rPr>
          <w:rFonts w:eastAsia="Times New Roman"/>
          <w:bCs/>
          <w:iCs/>
          <w:sz w:val="22"/>
          <w:szCs w:val="22"/>
          <w:lang w:eastAsia="en-GB"/>
        </w:rPr>
        <w:t xml:space="preserve">just over </w:t>
      </w:r>
      <w:r w:rsidR="00866B3C" w:rsidRPr="00BA2360">
        <w:rPr>
          <w:rFonts w:eastAsia="Times New Roman"/>
          <w:bCs/>
          <w:iCs/>
          <w:sz w:val="22"/>
          <w:szCs w:val="22"/>
          <w:lang w:eastAsia="en-GB"/>
        </w:rPr>
        <w:t>three</w:t>
      </w:r>
      <w:r w:rsidR="00DC5AC0" w:rsidRPr="00BA2360">
        <w:rPr>
          <w:rFonts w:eastAsia="Times New Roman"/>
          <w:bCs/>
          <w:iCs/>
          <w:sz w:val="22"/>
          <w:szCs w:val="22"/>
          <w:lang w:eastAsia="en-GB"/>
        </w:rPr>
        <w:t xml:space="preserve"> years</w:t>
      </w:r>
      <w:r w:rsidR="00957390" w:rsidRPr="00BA2360">
        <w:rPr>
          <w:rFonts w:eastAsia="Times New Roman"/>
          <w:bCs/>
          <w:iCs/>
          <w:sz w:val="22"/>
          <w:szCs w:val="22"/>
          <w:lang w:eastAsia="en-GB"/>
        </w:rPr>
        <w:t>,</w:t>
      </w:r>
      <w:r w:rsidR="00DC5AC0" w:rsidRPr="00BA2360">
        <w:rPr>
          <w:rFonts w:eastAsia="Times New Roman"/>
          <w:bCs/>
          <w:iCs/>
          <w:sz w:val="22"/>
          <w:szCs w:val="22"/>
          <w:lang w:eastAsia="en-GB"/>
        </w:rPr>
        <w:t xml:space="preserve"> from </w:t>
      </w:r>
      <w:r w:rsidR="008555C7" w:rsidRPr="00BA2360">
        <w:rPr>
          <w:rFonts w:eastAsia="Times New Roman"/>
          <w:bCs/>
          <w:iCs/>
          <w:sz w:val="22"/>
          <w:szCs w:val="22"/>
          <w:lang w:eastAsia="en-GB"/>
        </w:rPr>
        <w:t xml:space="preserve">commencement in </w:t>
      </w:r>
      <w:r w:rsidR="00811330" w:rsidRPr="00BA2360">
        <w:rPr>
          <w:rFonts w:eastAsia="Times New Roman"/>
          <w:bCs/>
          <w:iCs/>
          <w:sz w:val="22"/>
          <w:szCs w:val="22"/>
          <w:lang w:eastAsia="en-GB"/>
        </w:rPr>
        <w:t xml:space="preserve">November </w:t>
      </w:r>
      <w:r w:rsidR="00957390" w:rsidRPr="00BA2360">
        <w:rPr>
          <w:rFonts w:eastAsia="Times New Roman"/>
          <w:bCs/>
          <w:iCs/>
          <w:sz w:val="22"/>
          <w:szCs w:val="22"/>
          <w:lang w:eastAsia="en-GB"/>
        </w:rPr>
        <w:t>2017</w:t>
      </w:r>
      <w:r w:rsidR="00DC5AC0" w:rsidRPr="00BA2360">
        <w:rPr>
          <w:rFonts w:eastAsia="Times New Roman"/>
          <w:bCs/>
          <w:iCs/>
          <w:sz w:val="22"/>
          <w:szCs w:val="22"/>
          <w:lang w:eastAsia="en-GB"/>
        </w:rPr>
        <w:t xml:space="preserve"> </w:t>
      </w:r>
      <w:r w:rsidR="001D486F" w:rsidRPr="00BA2360">
        <w:rPr>
          <w:rFonts w:eastAsia="Times New Roman"/>
          <w:bCs/>
          <w:iCs/>
          <w:sz w:val="22"/>
          <w:szCs w:val="22"/>
          <w:lang w:eastAsia="en-GB"/>
        </w:rPr>
        <w:t xml:space="preserve">to </w:t>
      </w:r>
      <w:r w:rsidR="00087D29" w:rsidRPr="00BA2360">
        <w:rPr>
          <w:rFonts w:eastAsia="Times New Roman"/>
          <w:bCs/>
          <w:iCs/>
          <w:sz w:val="22"/>
          <w:szCs w:val="22"/>
          <w:lang w:eastAsia="en-GB"/>
        </w:rPr>
        <w:t>completion</w:t>
      </w:r>
      <w:r w:rsidR="00811330" w:rsidRPr="00BA2360">
        <w:rPr>
          <w:rFonts w:eastAsia="Times New Roman"/>
          <w:bCs/>
          <w:iCs/>
          <w:sz w:val="22"/>
          <w:szCs w:val="22"/>
          <w:lang w:eastAsia="en-GB"/>
        </w:rPr>
        <w:t xml:space="preserve"> at the end of 2020</w:t>
      </w:r>
      <w:r w:rsidR="00087D29" w:rsidRPr="00BA2360">
        <w:rPr>
          <w:rFonts w:eastAsia="Times New Roman"/>
          <w:bCs/>
          <w:iCs/>
          <w:sz w:val="22"/>
          <w:szCs w:val="22"/>
          <w:lang w:eastAsia="en-GB"/>
        </w:rPr>
        <w:t>.</w:t>
      </w:r>
    </w:p>
    <w:p w:rsidR="00DF37B2" w:rsidRPr="00DF37B2" w:rsidRDefault="002920A3" w:rsidP="008E1440">
      <w:pPr>
        <w:pStyle w:val="ListParagraph"/>
        <w:spacing w:before="120" w:after="120"/>
        <w:rPr>
          <w:rFonts w:eastAsia="Times New Roman"/>
          <w:bCs/>
          <w:iCs/>
          <w:sz w:val="22"/>
          <w:szCs w:val="22"/>
          <w:lang w:eastAsia="en-GB"/>
        </w:rPr>
      </w:pPr>
      <w:r w:rsidRPr="00FE5E2D">
        <w:rPr>
          <w:rFonts w:eastAsia="Times New Roman"/>
          <w:bCs/>
          <w:i/>
          <w:iCs/>
          <w:sz w:val="22"/>
          <w:szCs w:val="22"/>
          <w:lang w:eastAsia="en-GB"/>
        </w:rPr>
        <w:t xml:space="preserve"> </w:t>
      </w:r>
    </w:p>
    <w:p w:rsidR="00ED57C1" w:rsidRDefault="0001046B" w:rsidP="00A027C9">
      <w:pPr>
        <w:pStyle w:val="ListParagraph"/>
        <w:numPr>
          <w:ilvl w:val="0"/>
          <w:numId w:val="49"/>
        </w:numPr>
        <w:spacing w:before="120" w:after="120"/>
        <w:rPr>
          <w:rFonts w:eastAsia="Times New Roman"/>
          <w:bCs/>
          <w:iCs/>
          <w:sz w:val="22"/>
          <w:szCs w:val="22"/>
          <w:lang w:eastAsia="en-GB"/>
        </w:rPr>
      </w:pPr>
      <w:r w:rsidRPr="00FE5E2D">
        <w:rPr>
          <w:rFonts w:eastAsia="Times New Roman"/>
          <w:bCs/>
          <w:iCs/>
          <w:sz w:val="22"/>
          <w:szCs w:val="22"/>
          <w:lang w:eastAsia="en-GB"/>
        </w:rPr>
        <w:t xml:space="preserve">The </w:t>
      </w:r>
      <w:r w:rsidR="00ED57C1" w:rsidRPr="00FE5E2D">
        <w:rPr>
          <w:rFonts w:eastAsia="Times New Roman"/>
          <w:bCs/>
          <w:iCs/>
          <w:sz w:val="22"/>
          <w:szCs w:val="22"/>
          <w:lang w:eastAsia="en-GB"/>
        </w:rPr>
        <w:t xml:space="preserve">purpose </w:t>
      </w:r>
      <w:r w:rsidR="00D463E1" w:rsidRPr="00FE5E2D">
        <w:rPr>
          <w:rFonts w:eastAsia="Times New Roman"/>
          <w:bCs/>
          <w:iCs/>
          <w:sz w:val="22"/>
          <w:szCs w:val="22"/>
          <w:lang w:eastAsia="en-GB"/>
        </w:rPr>
        <w:t>of the J</w:t>
      </w:r>
      <w:r w:rsidR="00A47067" w:rsidRPr="00FE5E2D">
        <w:rPr>
          <w:rFonts w:eastAsia="Times New Roman"/>
          <w:bCs/>
          <w:iCs/>
          <w:sz w:val="22"/>
          <w:szCs w:val="22"/>
          <w:lang w:eastAsia="en-GB"/>
        </w:rPr>
        <w:t>SP</w:t>
      </w:r>
      <w:r w:rsidR="00D463E1" w:rsidRPr="00FE5E2D">
        <w:rPr>
          <w:rFonts w:eastAsia="Times New Roman"/>
          <w:bCs/>
          <w:iCs/>
          <w:sz w:val="22"/>
          <w:szCs w:val="22"/>
          <w:lang w:eastAsia="en-GB"/>
        </w:rPr>
        <w:t xml:space="preserve"> will be </w:t>
      </w:r>
      <w:r w:rsidR="00ED57C1" w:rsidRPr="00FE5E2D">
        <w:rPr>
          <w:rFonts w:eastAsia="Times New Roman"/>
          <w:bCs/>
          <w:iCs/>
          <w:sz w:val="22"/>
          <w:szCs w:val="22"/>
          <w:lang w:eastAsia="en-GB"/>
        </w:rPr>
        <w:t>to provide a</w:t>
      </w:r>
      <w:r w:rsidR="001D486F" w:rsidRPr="00FE5E2D">
        <w:rPr>
          <w:rFonts w:eastAsia="Times New Roman"/>
          <w:bCs/>
          <w:iCs/>
          <w:sz w:val="22"/>
          <w:szCs w:val="22"/>
          <w:lang w:eastAsia="en-GB"/>
        </w:rPr>
        <w:t>n Oxfordshire-</w:t>
      </w:r>
      <w:r w:rsidR="00DE1BCC" w:rsidRPr="00FE5E2D">
        <w:rPr>
          <w:rFonts w:eastAsia="Times New Roman"/>
          <w:bCs/>
          <w:iCs/>
          <w:sz w:val="22"/>
          <w:szCs w:val="22"/>
          <w:lang w:eastAsia="en-GB"/>
        </w:rPr>
        <w:t>wide;</w:t>
      </w:r>
      <w:r w:rsidR="001D486F" w:rsidRPr="00FE5E2D">
        <w:rPr>
          <w:rFonts w:eastAsia="Times New Roman"/>
          <w:bCs/>
          <w:iCs/>
          <w:sz w:val="22"/>
          <w:szCs w:val="22"/>
          <w:lang w:eastAsia="en-GB"/>
        </w:rPr>
        <w:t xml:space="preserve"> integrated</w:t>
      </w:r>
      <w:r w:rsidR="00ED57C1" w:rsidRPr="00FE5E2D">
        <w:rPr>
          <w:rFonts w:eastAsia="Times New Roman"/>
          <w:bCs/>
          <w:iCs/>
          <w:sz w:val="22"/>
          <w:szCs w:val="22"/>
          <w:lang w:eastAsia="en-GB"/>
        </w:rPr>
        <w:t xml:space="preserve"> strategic</w:t>
      </w:r>
      <w:r w:rsidR="0025549A" w:rsidRPr="00FE5E2D">
        <w:rPr>
          <w:rFonts w:eastAsia="Times New Roman"/>
          <w:bCs/>
          <w:iCs/>
          <w:sz w:val="22"/>
          <w:szCs w:val="22"/>
          <w:lang w:eastAsia="en-GB"/>
        </w:rPr>
        <w:t xml:space="preserve"> planning</w:t>
      </w:r>
      <w:r w:rsidR="00ED57C1" w:rsidRPr="00FE5E2D">
        <w:rPr>
          <w:rFonts w:eastAsia="Times New Roman"/>
          <w:bCs/>
          <w:iCs/>
          <w:sz w:val="22"/>
          <w:szCs w:val="22"/>
          <w:lang w:eastAsia="en-GB"/>
        </w:rPr>
        <w:t xml:space="preserve"> framework to help </w:t>
      </w:r>
      <w:r w:rsidR="001D486F" w:rsidRPr="00FE5E2D">
        <w:rPr>
          <w:rFonts w:eastAsia="Times New Roman"/>
          <w:bCs/>
          <w:iCs/>
          <w:sz w:val="22"/>
          <w:szCs w:val="22"/>
          <w:lang w:eastAsia="en-GB"/>
        </w:rPr>
        <w:t xml:space="preserve">support </w:t>
      </w:r>
      <w:r w:rsidR="00957390">
        <w:rPr>
          <w:rFonts w:eastAsia="Times New Roman"/>
          <w:bCs/>
          <w:iCs/>
          <w:sz w:val="22"/>
          <w:szCs w:val="22"/>
          <w:lang w:eastAsia="en-GB"/>
        </w:rPr>
        <w:t>sustainable growth</w:t>
      </w:r>
      <w:r w:rsidR="008E1440">
        <w:rPr>
          <w:rFonts w:eastAsia="Times New Roman"/>
          <w:bCs/>
          <w:iCs/>
          <w:sz w:val="22"/>
          <w:szCs w:val="22"/>
          <w:lang w:eastAsia="en-GB"/>
        </w:rPr>
        <w:t xml:space="preserve"> across the Count</w:t>
      </w:r>
      <w:r w:rsidR="00957390">
        <w:rPr>
          <w:rFonts w:eastAsia="Times New Roman"/>
          <w:bCs/>
          <w:iCs/>
          <w:sz w:val="22"/>
          <w:szCs w:val="22"/>
          <w:lang w:eastAsia="en-GB"/>
        </w:rPr>
        <w:t xml:space="preserve">y, </w:t>
      </w:r>
      <w:r w:rsidR="00D277F6">
        <w:rPr>
          <w:rFonts w:eastAsia="Times New Roman"/>
          <w:bCs/>
          <w:iCs/>
          <w:sz w:val="22"/>
          <w:szCs w:val="22"/>
          <w:lang w:eastAsia="en-GB"/>
        </w:rPr>
        <w:t xml:space="preserve">including </w:t>
      </w:r>
      <w:r w:rsidR="00D277F6" w:rsidRPr="00FE5E2D">
        <w:rPr>
          <w:rFonts w:eastAsia="Times New Roman"/>
          <w:bCs/>
          <w:iCs/>
          <w:sz w:val="22"/>
          <w:szCs w:val="22"/>
          <w:lang w:eastAsia="en-GB"/>
        </w:rPr>
        <w:t>the</w:t>
      </w:r>
      <w:r w:rsidR="00087D29" w:rsidRPr="00FE5E2D">
        <w:rPr>
          <w:rFonts w:eastAsia="Times New Roman"/>
          <w:bCs/>
          <w:iCs/>
          <w:sz w:val="22"/>
          <w:szCs w:val="22"/>
          <w:lang w:eastAsia="en-GB"/>
        </w:rPr>
        <w:t xml:space="preserve"> </w:t>
      </w:r>
      <w:r w:rsidR="00413249">
        <w:rPr>
          <w:rFonts w:eastAsia="Times New Roman"/>
          <w:bCs/>
          <w:iCs/>
          <w:sz w:val="22"/>
          <w:szCs w:val="22"/>
          <w:lang w:eastAsia="en-GB"/>
        </w:rPr>
        <w:t xml:space="preserve">planned </w:t>
      </w:r>
      <w:r w:rsidR="00ED57C1" w:rsidRPr="00FE5E2D">
        <w:rPr>
          <w:rFonts w:eastAsia="Times New Roman"/>
          <w:bCs/>
          <w:iCs/>
          <w:sz w:val="22"/>
          <w:szCs w:val="22"/>
          <w:lang w:eastAsia="en-GB"/>
        </w:rPr>
        <w:t>deliver</w:t>
      </w:r>
      <w:r w:rsidR="001D486F" w:rsidRPr="00FE5E2D">
        <w:rPr>
          <w:rFonts w:eastAsia="Times New Roman"/>
          <w:bCs/>
          <w:iCs/>
          <w:sz w:val="22"/>
          <w:szCs w:val="22"/>
          <w:lang w:eastAsia="en-GB"/>
        </w:rPr>
        <w:t>y of</w:t>
      </w:r>
      <w:r w:rsidR="00ED57C1" w:rsidRPr="00FE5E2D">
        <w:rPr>
          <w:rFonts w:eastAsia="Times New Roman"/>
          <w:bCs/>
          <w:iCs/>
          <w:sz w:val="22"/>
          <w:szCs w:val="22"/>
          <w:lang w:eastAsia="en-GB"/>
        </w:rPr>
        <w:t xml:space="preserve"> </w:t>
      </w:r>
      <w:r w:rsidR="00D1519A" w:rsidRPr="00FE5E2D">
        <w:rPr>
          <w:rFonts w:eastAsia="Times New Roman"/>
          <w:bCs/>
          <w:iCs/>
          <w:sz w:val="22"/>
          <w:szCs w:val="22"/>
          <w:lang w:eastAsia="en-GB"/>
        </w:rPr>
        <w:t>the new</w:t>
      </w:r>
      <w:r w:rsidR="00ED57C1" w:rsidRPr="00FE5E2D">
        <w:rPr>
          <w:rFonts w:eastAsia="Times New Roman"/>
          <w:bCs/>
          <w:iCs/>
          <w:sz w:val="22"/>
          <w:szCs w:val="22"/>
          <w:lang w:eastAsia="en-GB"/>
        </w:rPr>
        <w:t xml:space="preserve"> homes</w:t>
      </w:r>
      <w:r w:rsidR="00413249">
        <w:rPr>
          <w:rFonts w:eastAsia="Times New Roman"/>
          <w:bCs/>
          <w:iCs/>
          <w:sz w:val="22"/>
          <w:szCs w:val="22"/>
          <w:lang w:eastAsia="en-GB"/>
        </w:rPr>
        <w:t xml:space="preserve"> and </w:t>
      </w:r>
      <w:r w:rsidR="000920E1">
        <w:rPr>
          <w:rFonts w:eastAsia="Times New Roman"/>
          <w:bCs/>
          <w:iCs/>
          <w:sz w:val="22"/>
          <w:szCs w:val="22"/>
          <w:lang w:eastAsia="en-GB"/>
        </w:rPr>
        <w:t>economic development</w:t>
      </w:r>
      <w:r w:rsidR="00ED57C1" w:rsidRPr="00FE5E2D">
        <w:rPr>
          <w:rFonts w:eastAsia="Times New Roman"/>
          <w:bCs/>
          <w:iCs/>
          <w:sz w:val="22"/>
          <w:szCs w:val="22"/>
          <w:lang w:eastAsia="en-GB"/>
        </w:rPr>
        <w:t xml:space="preserve">, and the </w:t>
      </w:r>
      <w:r w:rsidR="00DE1BCC">
        <w:rPr>
          <w:rFonts w:eastAsia="Times New Roman"/>
          <w:bCs/>
          <w:iCs/>
          <w:sz w:val="22"/>
          <w:szCs w:val="22"/>
          <w:lang w:eastAsia="en-GB"/>
        </w:rPr>
        <w:t xml:space="preserve">anticipated </w:t>
      </w:r>
      <w:r w:rsidR="00ED57C1" w:rsidRPr="00FE5E2D">
        <w:rPr>
          <w:rFonts w:eastAsia="Times New Roman"/>
          <w:bCs/>
          <w:iCs/>
          <w:sz w:val="22"/>
          <w:szCs w:val="22"/>
          <w:lang w:eastAsia="en-GB"/>
        </w:rPr>
        <w:t>supporting infrastructure needed</w:t>
      </w:r>
      <w:r w:rsidR="008E1440">
        <w:rPr>
          <w:rFonts w:eastAsia="Times New Roman"/>
          <w:bCs/>
          <w:iCs/>
          <w:sz w:val="22"/>
          <w:szCs w:val="22"/>
          <w:lang w:eastAsia="en-GB"/>
        </w:rPr>
        <w:t>.</w:t>
      </w:r>
    </w:p>
    <w:p w:rsidR="008E1440" w:rsidRPr="008E1440" w:rsidRDefault="008E1440" w:rsidP="008E1440">
      <w:pPr>
        <w:pStyle w:val="ListParagraph"/>
        <w:rPr>
          <w:rFonts w:eastAsia="Times New Roman"/>
          <w:bCs/>
          <w:iCs/>
          <w:sz w:val="22"/>
          <w:szCs w:val="22"/>
          <w:lang w:eastAsia="en-GB"/>
        </w:rPr>
      </w:pPr>
    </w:p>
    <w:p w:rsidR="00096F48" w:rsidRDefault="00096F48" w:rsidP="00A027C9">
      <w:pPr>
        <w:pStyle w:val="ListParagraph"/>
        <w:numPr>
          <w:ilvl w:val="0"/>
          <w:numId w:val="49"/>
        </w:numPr>
        <w:spacing w:before="120" w:after="120"/>
        <w:rPr>
          <w:rFonts w:eastAsia="Times New Roman"/>
          <w:bCs/>
          <w:iCs/>
          <w:sz w:val="22"/>
          <w:szCs w:val="22"/>
          <w:lang w:eastAsia="en-GB"/>
        </w:rPr>
      </w:pPr>
      <w:r w:rsidRPr="00FE5E2D">
        <w:rPr>
          <w:rFonts w:eastAsia="Times New Roman"/>
          <w:bCs/>
          <w:iCs/>
          <w:sz w:val="22"/>
          <w:szCs w:val="22"/>
          <w:lang w:eastAsia="en-GB"/>
        </w:rPr>
        <w:t xml:space="preserve">The JSP will build on the existing joint work of the Oxfordshire Local Authorities </w:t>
      </w:r>
      <w:r w:rsidR="00736AAE">
        <w:rPr>
          <w:rFonts w:eastAsia="Times New Roman"/>
          <w:bCs/>
          <w:iCs/>
          <w:sz w:val="22"/>
          <w:szCs w:val="22"/>
          <w:lang w:eastAsia="en-GB"/>
        </w:rPr>
        <w:t>through</w:t>
      </w:r>
      <w:r w:rsidR="00736AAE" w:rsidRPr="00FE5E2D">
        <w:rPr>
          <w:rFonts w:eastAsia="Times New Roman"/>
          <w:bCs/>
          <w:iCs/>
          <w:sz w:val="22"/>
          <w:szCs w:val="22"/>
          <w:lang w:eastAsia="en-GB"/>
        </w:rPr>
        <w:t xml:space="preserve"> </w:t>
      </w:r>
      <w:r w:rsidRPr="00FE5E2D">
        <w:rPr>
          <w:rFonts w:eastAsia="Times New Roman"/>
          <w:bCs/>
          <w:iCs/>
          <w:sz w:val="22"/>
          <w:szCs w:val="22"/>
          <w:lang w:eastAsia="en-GB"/>
        </w:rPr>
        <w:t xml:space="preserve">the Oxfordshire Growth </w:t>
      </w:r>
      <w:r w:rsidR="00D277F6" w:rsidRPr="00FE5E2D">
        <w:rPr>
          <w:rFonts w:eastAsia="Times New Roman"/>
          <w:bCs/>
          <w:iCs/>
          <w:sz w:val="22"/>
          <w:szCs w:val="22"/>
          <w:lang w:eastAsia="en-GB"/>
        </w:rPr>
        <w:t>Board that</w:t>
      </w:r>
      <w:r w:rsidRPr="00FE5E2D">
        <w:rPr>
          <w:rFonts w:eastAsia="Times New Roman"/>
          <w:bCs/>
          <w:iCs/>
          <w:sz w:val="22"/>
          <w:szCs w:val="22"/>
          <w:lang w:eastAsia="en-GB"/>
        </w:rPr>
        <w:t xml:space="preserve">, amongst </w:t>
      </w:r>
      <w:r w:rsidR="002920A3" w:rsidRPr="00FE5E2D">
        <w:rPr>
          <w:rFonts w:eastAsia="Times New Roman"/>
          <w:bCs/>
          <w:iCs/>
          <w:sz w:val="22"/>
          <w:szCs w:val="22"/>
          <w:lang w:eastAsia="en-GB"/>
        </w:rPr>
        <w:t>other</w:t>
      </w:r>
      <w:r w:rsidRPr="00FE5E2D">
        <w:rPr>
          <w:rFonts w:eastAsia="Times New Roman"/>
          <w:bCs/>
          <w:iCs/>
          <w:sz w:val="22"/>
          <w:szCs w:val="22"/>
          <w:lang w:eastAsia="en-GB"/>
        </w:rPr>
        <w:t xml:space="preserve"> matters, has le</w:t>
      </w:r>
      <w:r w:rsidR="002920A3" w:rsidRPr="00FE5E2D">
        <w:rPr>
          <w:rFonts w:eastAsia="Times New Roman"/>
          <w:bCs/>
          <w:iCs/>
          <w:sz w:val="22"/>
          <w:szCs w:val="22"/>
          <w:lang w:eastAsia="en-GB"/>
        </w:rPr>
        <w:t>d</w:t>
      </w:r>
      <w:r w:rsidRPr="00FE5E2D">
        <w:rPr>
          <w:rFonts w:eastAsia="Times New Roman"/>
          <w:bCs/>
          <w:iCs/>
          <w:sz w:val="22"/>
          <w:szCs w:val="22"/>
          <w:lang w:eastAsia="en-GB"/>
        </w:rPr>
        <w:t xml:space="preserve"> to the </w:t>
      </w:r>
      <w:r w:rsidR="003E69D8" w:rsidRPr="00FE5E2D">
        <w:rPr>
          <w:rFonts w:eastAsia="Times New Roman"/>
          <w:bCs/>
          <w:iCs/>
          <w:sz w:val="22"/>
          <w:szCs w:val="22"/>
          <w:lang w:eastAsia="en-GB"/>
        </w:rPr>
        <w:t>publication of the SHMA</w:t>
      </w:r>
      <w:r w:rsidR="00D277F6" w:rsidRPr="00FE5E2D">
        <w:rPr>
          <w:rFonts w:eastAsia="Times New Roman"/>
          <w:bCs/>
          <w:iCs/>
          <w:sz w:val="22"/>
          <w:szCs w:val="22"/>
          <w:lang w:eastAsia="en-GB"/>
        </w:rPr>
        <w:t xml:space="preserve">, </w:t>
      </w:r>
      <w:r w:rsidR="00D277F6">
        <w:rPr>
          <w:rFonts w:eastAsia="Times New Roman"/>
          <w:bCs/>
          <w:iCs/>
          <w:sz w:val="22"/>
          <w:szCs w:val="22"/>
          <w:lang w:eastAsia="en-GB"/>
        </w:rPr>
        <w:t>a</w:t>
      </w:r>
      <w:r w:rsidR="00FD57A3">
        <w:rPr>
          <w:rFonts w:eastAsia="Times New Roman"/>
          <w:bCs/>
          <w:iCs/>
          <w:sz w:val="22"/>
          <w:szCs w:val="22"/>
          <w:lang w:eastAsia="en-GB"/>
        </w:rPr>
        <w:t xml:space="preserve"> </w:t>
      </w:r>
      <w:r w:rsidR="008E1440">
        <w:rPr>
          <w:rFonts w:eastAsia="Times New Roman"/>
          <w:bCs/>
          <w:iCs/>
          <w:sz w:val="22"/>
          <w:szCs w:val="22"/>
          <w:lang w:eastAsia="en-GB"/>
        </w:rPr>
        <w:t xml:space="preserve">working agreement for the </w:t>
      </w:r>
      <w:r w:rsidR="003E69D8" w:rsidRPr="00FE5E2D">
        <w:rPr>
          <w:rFonts w:eastAsia="Times New Roman"/>
          <w:bCs/>
          <w:iCs/>
          <w:sz w:val="22"/>
          <w:szCs w:val="22"/>
          <w:lang w:eastAsia="en-GB"/>
        </w:rPr>
        <w:t xml:space="preserve">apportionment of Oxford’s unmet housing need, and the Oxfordshire Infrastructure </w:t>
      </w:r>
      <w:r w:rsidR="00D277F6" w:rsidRPr="00FE5E2D">
        <w:rPr>
          <w:rFonts w:eastAsia="Times New Roman"/>
          <w:bCs/>
          <w:iCs/>
          <w:sz w:val="22"/>
          <w:szCs w:val="22"/>
          <w:lang w:eastAsia="en-GB"/>
        </w:rPr>
        <w:t>Study</w:t>
      </w:r>
      <w:r w:rsidR="00D277F6">
        <w:rPr>
          <w:rFonts w:eastAsia="Times New Roman"/>
          <w:bCs/>
          <w:iCs/>
          <w:sz w:val="22"/>
          <w:szCs w:val="22"/>
          <w:lang w:eastAsia="en-GB"/>
        </w:rPr>
        <w:t xml:space="preserve"> (</w:t>
      </w:r>
      <w:r w:rsidR="008E1440">
        <w:rPr>
          <w:rFonts w:eastAsia="Times New Roman"/>
          <w:bCs/>
          <w:iCs/>
          <w:sz w:val="22"/>
          <w:szCs w:val="22"/>
          <w:lang w:eastAsia="en-GB"/>
        </w:rPr>
        <w:t>OxIS)</w:t>
      </w:r>
      <w:r w:rsidR="003E69D8" w:rsidRPr="00FE5E2D">
        <w:rPr>
          <w:rFonts w:eastAsia="Times New Roman"/>
          <w:bCs/>
          <w:iCs/>
          <w:sz w:val="22"/>
          <w:szCs w:val="22"/>
          <w:lang w:eastAsia="en-GB"/>
        </w:rPr>
        <w:t>.</w:t>
      </w:r>
    </w:p>
    <w:p w:rsidR="008E1440" w:rsidRPr="008E1440" w:rsidRDefault="008E1440" w:rsidP="0038391F">
      <w:pPr>
        <w:pStyle w:val="ListParagraph"/>
        <w:rPr>
          <w:rFonts w:eastAsia="Times New Roman"/>
          <w:bCs/>
          <w:iCs/>
          <w:sz w:val="22"/>
          <w:szCs w:val="22"/>
          <w:lang w:eastAsia="en-GB"/>
        </w:rPr>
      </w:pPr>
    </w:p>
    <w:p w:rsidR="00A47067" w:rsidRDefault="00413249" w:rsidP="00A027C9">
      <w:pPr>
        <w:pStyle w:val="ListParagraph"/>
        <w:numPr>
          <w:ilvl w:val="0"/>
          <w:numId w:val="49"/>
        </w:numPr>
        <w:spacing w:before="120" w:after="120"/>
        <w:rPr>
          <w:rFonts w:eastAsia="Times New Roman"/>
          <w:bCs/>
          <w:iCs/>
          <w:sz w:val="22"/>
          <w:szCs w:val="22"/>
          <w:lang w:eastAsia="en-GB"/>
        </w:rPr>
      </w:pPr>
      <w:r>
        <w:rPr>
          <w:rFonts w:eastAsia="Times New Roman"/>
          <w:bCs/>
          <w:iCs/>
          <w:sz w:val="22"/>
          <w:szCs w:val="22"/>
          <w:lang w:eastAsia="en-GB"/>
        </w:rPr>
        <w:t>The</w:t>
      </w:r>
      <w:r w:rsidR="004E2A3F" w:rsidRPr="008E1440">
        <w:rPr>
          <w:rFonts w:eastAsia="Times New Roman"/>
          <w:bCs/>
          <w:iCs/>
          <w:sz w:val="22"/>
          <w:szCs w:val="22"/>
          <w:lang w:eastAsia="en-GB"/>
        </w:rPr>
        <w:t xml:space="preserve"> production of the JSP </w:t>
      </w:r>
      <w:r w:rsidR="000920E1">
        <w:rPr>
          <w:rFonts w:eastAsia="Times New Roman"/>
          <w:bCs/>
          <w:iCs/>
          <w:sz w:val="22"/>
          <w:szCs w:val="22"/>
          <w:lang w:eastAsia="en-GB"/>
        </w:rPr>
        <w:t>commences</w:t>
      </w:r>
      <w:r>
        <w:rPr>
          <w:rFonts w:eastAsia="Times New Roman"/>
          <w:bCs/>
          <w:iCs/>
          <w:sz w:val="22"/>
          <w:szCs w:val="22"/>
          <w:lang w:eastAsia="en-GB"/>
        </w:rPr>
        <w:t xml:space="preserve"> on </w:t>
      </w:r>
      <w:r w:rsidR="001D6099">
        <w:rPr>
          <w:rFonts w:eastAsia="Times New Roman"/>
          <w:bCs/>
          <w:iCs/>
          <w:sz w:val="22"/>
          <w:szCs w:val="22"/>
          <w:lang w:eastAsia="en-GB"/>
        </w:rPr>
        <w:t xml:space="preserve">a </w:t>
      </w:r>
      <w:r w:rsidR="001D6099" w:rsidRPr="008E1440">
        <w:rPr>
          <w:rFonts w:eastAsia="Times New Roman"/>
          <w:bCs/>
          <w:iCs/>
          <w:sz w:val="22"/>
          <w:szCs w:val="22"/>
          <w:lang w:eastAsia="en-GB"/>
        </w:rPr>
        <w:t>non</w:t>
      </w:r>
      <w:r w:rsidR="004E2A3F" w:rsidRPr="008E1440">
        <w:rPr>
          <w:rFonts w:eastAsia="Times New Roman"/>
          <w:bCs/>
          <w:iCs/>
          <w:sz w:val="22"/>
          <w:szCs w:val="22"/>
          <w:lang w:eastAsia="en-GB"/>
        </w:rPr>
        <w:t xml:space="preserve">-statutory </w:t>
      </w:r>
      <w:r w:rsidR="00CF3045">
        <w:rPr>
          <w:rFonts w:eastAsia="Times New Roman"/>
          <w:bCs/>
          <w:iCs/>
          <w:sz w:val="22"/>
          <w:szCs w:val="22"/>
          <w:lang w:eastAsia="en-GB"/>
        </w:rPr>
        <w:t>basis,</w:t>
      </w:r>
      <w:r w:rsidR="009B1279" w:rsidRPr="008E1440">
        <w:rPr>
          <w:rFonts w:eastAsia="Times New Roman"/>
          <w:bCs/>
          <w:iCs/>
          <w:sz w:val="22"/>
          <w:szCs w:val="22"/>
          <w:lang w:eastAsia="en-GB"/>
        </w:rPr>
        <w:t xml:space="preserve"> </w:t>
      </w:r>
      <w:r w:rsidR="00CF3045">
        <w:rPr>
          <w:rFonts w:eastAsia="Times New Roman"/>
          <w:bCs/>
          <w:iCs/>
          <w:sz w:val="22"/>
          <w:szCs w:val="22"/>
          <w:lang w:eastAsia="en-GB"/>
        </w:rPr>
        <w:t xml:space="preserve">however </w:t>
      </w:r>
      <w:r w:rsidR="00CF3045" w:rsidRPr="008E1440">
        <w:rPr>
          <w:rFonts w:eastAsia="Times New Roman"/>
          <w:bCs/>
          <w:iCs/>
          <w:sz w:val="22"/>
          <w:szCs w:val="22"/>
          <w:lang w:eastAsia="en-GB"/>
        </w:rPr>
        <w:t>supported</w:t>
      </w:r>
      <w:r w:rsidR="009B1279" w:rsidRPr="008E1440">
        <w:rPr>
          <w:rFonts w:eastAsia="Times New Roman"/>
          <w:bCs/>
          <w:iCs/>
          <w:sz w:val="22"/>
          <w:szCs w:val="22"/>
          <w:lang w:eastAsia="en-GB"/>
        </w:rPr>
        <w:t xml:space="preserve"> by an evidence base </w:t>
      </w:r>
      <w:r>
        <w:rPr>
          <w:rFonts w:eastAsia="Times New Roman"/>
          <w:bCs/>
          <w:iCs/>
          <w:sz w:val="22"/>
          <w:szCs w:val="22"/>
          <w:lang w:eastAsia="en-GB"/>
        </w:rPr>
        <w:t xml:space="preserve">and process </w:t>
      </w:r>
      <w:r w:rsidR="009B1279" w:rsidRPr="008E1440">
        <w:rPr>
          <w:rFonts w:eastAsia="Times New Roman"/>
          <w:bCs/>
          <w:iCs/>
          <w:sz w:val="22"/>
          <w:szCs w:val="22"/>
          <w:lang w:eastAsia="en-GB"/>
        </w:rPr>
        <w:t xml:space="preserve">that would enable it to take a statutory route at key decision points identified in the </w:t>
      </w:r>
      <w:r w:rsidR="00CC7EBA">
        <w:rPr>
          <w:rFonts w:eastAsia="Times New Roman"/>
          <w:bCs/>
          <w:iCs/>
          <w:sz w:val="22"/>
          <w:szCs w:val="22"/>
          <w:lang w:eastAsia="en-GB"/>
        </w:rPr>
        <w:t>business case.</w:t>
      </w:r>
    </w:p>
    <w:p w:rsidR="008E1440" w:rsidRPr="008E1440" w:rsidRDefault="008E1440" w:rsidP="007F60E6">
      <w:pPr>
        <w:pStyle w:val="ListParagraph"/>
        <w:ind w:left="709" w:hanging="283"/>
        <w:rPr>
          <w:rFonts w:eastAsia="Times New Roman"/>
          <w:bCs/>
          <w:iCs/>
          <w:sz w:val="22"/>
          <w:szCs w:val="22"/>
          <w:lang w:eastAsia="en-GB"/>
        </w:rPr>
      </w:pPr>
    </w:p>
    <w:p w:rsidR="00A56931" w:rsidRPr="00177982" w:rsidRDefault="00817E7F" w:rsidP="00ED57C1">
      <w:pPr>
        <w:spacing w:before="120" w:after="120"/>
        <w:rPr>
          <w:rFonts w:eastAsia="Times New Roman"/>
          <w:b/>
          <w:bCs/>
          <w:iCs/>
          <w:u w:val="single"/>
          <w:lang w:eastAsia="en-GB"/>
        </w:rPr>
      </w:pPr>
      <w:r w:rsidRPr="00177982">
        <w:rPr>
          <w:rFonts w:eastAsia="Times New Roman"/>
          <w:b/>
          <w:bCs/>
          <w:iCs/>
          <w:u w:val="single"/>
          <w:lang w:eastAsia="en-GB"/>
        </w:rPr>
        <w:t>The s</w:t>
      </w:r>
      <w:r w:rsidR="00A56931" w:rsidRPr="00177982">
        <w:rPr>
          <w:rFonts w:eastAsia="Times New Roman"/>
          <w:b/>
          <w:bCs/>
          <w:iCs/>
          <w:u w:val="single"/>
          <w:lang w:eastAsia="en-GB"/>
        </w:rPr>
        <w:t>trategic context for the Plan</w:t>
      </w:r>
    </w:p>
    <w:p w:rsidR="008E1440" w:rsidRDefault="008E1440" w:rsidP="00A027C9">
      <w:pPr>
        <w:pStyle w:val="ListParagraph"/>
        <w:numPr>
          <w:ilvl w:val="0"/>
          <w:numId w:val="49"/>
        </w:numPr>
        <w:rPr>
          <w:sz w:val="22"/>
          <w:szCs w:val="22"/>
        </w:rPr>
      </w:pPr>
      <w:r>
        <w:rPr>
          <w:sz w:val="22"/>
          <w:szCs w:val="22"/>
        </w:rPr>
        <w:t xml:space="preserve">The </w:t>
      </w:r>
      <w:r w:rsidR="00736AAE">
        <w:rPr>
          <w:sz w:val="22"/>
          <w:szCs w:val="22"/>
        </w:rPr>
        <w:t xml:space="preserve">Oxfordshire Authorities agreement through the </w:t>
      </w:r>
      <w:r>
        <w:rPr>
          <w:sz w:val="22"/>
          <w:szCs w:val="22"/>
        </w:rPr>
        <w:t xml:space="preserve">Growth </w:t>
      </w:r>
      <w:proofErr w:type="gramStart"/>
      <w:r>
        <w:rPr>
          <w:sz w:val="22"/>
          <w:szCs w:val="22"/>
        </w:rPr>
        <w:t xml:space="preserve">Board </w:t>
      </w:r>
      <w:r w:rsidR="00817E7F">
        <w:rPr>
          <w:sz w:val="22"/>
          <w:szCs w:val="22"/>
        </w:rPr>
        <w:t xml:space="preserve"> </w:t>
      </w:r>
      <w:r w:rsidR="00AA3C23">
        <w:rPr>
          <w:sz w:val="22"/>
          <w:szCs w:val="22"/>
        </w:rPr>
        <w:t>in</w:t>
      </w:r>
      <w:proofErr w:type="gramEnd"/>
      <w:r w:rsidR="00AA3C23">
        <w:rPr>
          <w:sz w:val="22"/>
          <w:szCs w:val="22"/>
        </w:rPr>
        <w:t xml:space="preserve"> March 2017</w:t>
      </w:r>
      <w:r>
        <w:rPr>
          <w:sz w:val="22"/>
          <w:szCs w:val="22"/>
        </w:rPr>
        <w:t xml:space="preserve"> to work collectively on a strategic approach to planning for growth reflects a shared ambition to maximise the considerable potential for growth </w:t>
      </w:r>
      <w:r w:rsidR="00D1519A">
        <w:rPr>
          <w:sz w:val="22"/>
          <w:szCs w:val="22"/>
        </w:rPr>
        <w:t>that Oxfordshire’s</w:t>
      </w:r>
      <w:r>
        <w:rPr>
          <w:sz w:val="22"/>
          <w:szCs w:val="22"/>
        </w:rPr>
        <w:t xml:space="preserve"> unique knowledge economy</w:t>
      </w:r>
      <w:r w:rsidR="007A21B9">
        <w:rPr>
          <w:sz w:val="22"/>
          <w:szCs w:val="22"/>
        </w:rPr>
        <w:t xml:space="preserve"> offers</w:t>
      </w:r>
      <w:r w:rsidR="00D277F6">
        <w:rPr>
          <w:sz w:val="22"/>
          <w:szCs w:val="22"/>
        </w:rPr>
        <w:t xml:space="preserve">. </w:t>
      </w:r>
      <w:r w:rsidR="00817E7F">
        <w:rPr>
          <w:sz w:val="22"/>
          <w:szCs w:val="22"/>
        </w:rPr>
        <w:t xml:space="preserve"> </w:t>
      </w:r>
      <w:r>
        <w:rPr>
          <w:sz w:val="22"/>
          <w:szCs w:val="22"/>
        </w:rPr>
        <w:t xml:space="preserve">This will build on previous work </w:t>
      </w:r>
      <w:r w:rsidR="00736AAE">
        <w:rPr>
          <w:sz w:val="22"/>
          <w:szCs w:val="22"/>
        </w:rPr>
        <w:t xml:space="preserve">through </w:t>
      </w:r>
      <w:r>
        <w:rPr>
          <w:sz w:val="22"/>
          <w:szCs w:val="22"/>
        </w:rPr>
        <w:t xml:space="preserve">the Growth Board on agreeing </w:t>
      </w:r>
      <w:r w:rsidR="00B4174E">
        <w:rPr>
          <w:sz w:val="22"/>
          <w:szCs w:val="22"/>
        </w:rPr>
        <w:t xml:space="preserve">the </w:t>
      </w:r>
      <w:r>
        <w:rPr>
          <w:sz w:val="22"/>
          <w:szCs w:val="22"/>
        </w:rPr>
        <w:t xml:space="preserve">apportionment of unmet need; </w:t>
      </w:r>
      <w:r w:rsidR="002C504E">
        <w:rPr>
          <w:sz w:val="22"/>
          <w:szCs w:val="22"/>
        </w:rPr>
        <w:t xml:space="preserve">the shared vision expressed in the Strategic Economic Plan (SEP); and the </w:t>
      </w:r>
      <w:r>
        <w:rPr>
          <w:sz w:val="22"/>
          <w:szCs w:val="22"/>
        </w:rPr>
        <w:t>Oxfordshire</w:t>
      </w:r>
      <w:r w:rsidR="002C504E">
        <w:rPr>
          <w:sz w:val="22"/>
          <w:szCs w:val="22"/>
        </w:rPr>
        <w:t xml:space="preserve"> Infrastructure Strategy (</w:t>
      </w:r>
      <w:proofErr w:type="spellStart"/>
      <w:r w:rsidR="002C504E">
        <w:rPr>
          <w:sz w:val="22"/>
          <w:szCs w:val="22"/>
        </w:rPr>
        <w:t>OxIS</w:t>
      </w:r>
      <w:proofErr w:type="spellEnd"/>
      <w:r w:rsidR="002C504E">
        <w:rPr>
          <w:sz w:val="22"/>
          <w:szCs w:val="22"/>
        </w:rPr>
        <w:t>)</w:t>
      </w:r>
      <w:r>
        <w:rPr>
          <w:sz w:val="22"/>
          <w:szCs w:val="22"/>
        </w:rPr>
        <w:t xml:space="preserve">. </w:t>
      </w:r>
      <w:r w:rsidR="00817E7F">
        <w:rPr>
          <w:sz w:val="22"/>
          <w:szCs w:val="22"/>
        </w:rPr>
        <w:t xml:space="preserve"> </w:t>
      </w:r>
      <w:r>
        <w:rPr>
          <w:sz w:val="22"/>
          <w:szCs w:val="22"/>
        </w:rPr>
        <w:t>Together with OxIS a</w:t>
      </w:r>
      <w:r w:rsidR="00FD57A3">
        <w:rPr>
          <w:sz w:val="22"/>
          <w:szCs w:val="22"/>
        </w:rPr>
        <w:t>nd the SEP, a JSP</w:t>
      </w:r>
      <w:r>
        <w:rPr>
          <w:sz w:val="22"/>
          <w:szCs w:val="22"/>
        </w:rPr>
        <w:t xml:space="preserve"> will provide a </w:t>
      </w:r>
      <w:r w:rsidR="00B4174E">
        <w:rPr>
          <w:sz w:val="22"/>
          <w:szCs w:val="22"/>
        </w:rPr>
        <w:t xml:space="preserve">strategic planning </w:t>
      </w:r>
      <w:r>
        <w:rPr>
          <w:sz w:val="22"/>
          <w:szCs w:val="22"/>
        </w:rPr>
        <w:t xml:space="preserve">framework for </w:t>
      </w:r>
      <w:r w:rsidRPr="00B33263">
        <w:rPr>
          <w:sz w:val="22"/>
          <w:szCs w:val="22"/>
        </w:rPr>
        <w:t xml:space="preserve">sustainable growth for existing and new </w:t>
      </w:r>
      <w:r>
        <w:rPr>
          <w:sz w:val="22"/>
          <w:szCs w:val="22"/>
        </w:rPr>
        <w:t>communities and a platform from which to secure funding for infrastructure needed to achieve the best outcomes for Oxfordshire.</w:t>
      </w:r>
    </w:p>
    <w:p w:rsidR="00331D81" w:rsidRDefault="00331D81">
      <w:pPr>
        <w:rPr>
          <w:sz w:val="22"/>
          <w:szCs w:val="22"/>
        </w:rPr>
      </w:pPr>
    </w:p>
    <w:p w:rsidR="00A2714E" w:rsidRDefault="00A2714E">
      <w:pPr>
        <w:rPr>
          <w:sz w:val="22"/>
          <w:szCs w:val="22"/>
        </w:rPr>
      </w:pPr>
      <w:r>
        <w:rPr>
          <w:sz w:val="22"/>
          <w:szCs w:val="22"/>
        </w:rPr>
        <w:br w:type="page"/>
      </w:r>
    </w:p>
    <w:p w:rsidR="008E1440" w:rsidRPr="00062B0E" w:rsidRDefault="008E1440" w:rsidP="008E1440">
      <w:pPr>
        <w:jc w:val="center"/>
        <w:rPr>
          <w:b/>
          <w:sz w:val="22"/>
          <w:szCs w:val="22"/>
        </w:rPr>
      </w:pPr>
      <w:r w:rsidRPr="00062B0E">
        <w:rPr>
          <w:b/>
          <w:sz w:val="22"/>
          <w:szCs w:val="22"/>
        </w:rPr>
        <w:lastRenderedPageBreak/>
        <w:t>Sustainable Planned Growth for Oxfordshire</w:t>
      </w:r>
    </w:p>
    <w:p w:rsidR="008E1440" w:rsidRDefault="008E1440" w:rsidP="008E1440"/>
    <w:p w:rsidR="008E1440" w:rsidRDefault="008E1440" w:rsidP="008E1440">
      <w:pPr>
        <w:rPr>
          <w:sz w:val="22"/>
          <w:szCs w:val="22"/>
        </w:rPr>
      </w:pPr>
      <w:r>
        <w:rPr>
          <w:noProof/>
          <w:sz w:val="22"/>
          <w:szCs w:val="22"/>
          <w:lang w:eastAsia="en-GB"/>
        </w:rPr>
        <mc:AlternateContent>
          <mc:Choice Requires="wps">
            <w:drawing>
              <wp:anchor distT="0" distB="0" distL="114300" distR="114300" simplePos="0" relativeHeight="251661312" behindDoc="0" locked="0" layoutInCell="1" allowOverlap="1" wp14:anchorId="31E94E80" wp14:editId="5E75410A">
                <wp:simplePos x="0" y="0"/>
                <wp:positionH relativeFrom="column">
                  <wp:posOffset>4602480</wp:posOffset>
                </wp:positionH>
                <wp:positionV relativeFrom="paragraph">
                  <wp:posOffset>1739265</wp:posOffset>
                </wp:positionV>
                <wp:extent cx="1722120" cy="5410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1722120" cy="541020"/>
                        </a:xfrm>
                        <a:prstGeom prst="rect">
                          <a:avLst/>
                        </a:prstGeom>
                        <a:solidFill>
                          <a:sysClr val="window" lastClr="FFFFFF"/>
                        </a:solidFill>
                        <a:ln w="6350">
                          <a:solidFill>
                            <a:prstClr val="black"/>
                          </a:solidFill>
                        </a:ln>
                        <a:effectLst/>
                      </wps:spPr>
                      <wps:txbx>
                        <w:txbxContent>
                          <w:p w:rsidR="00B85AAC" w:rsidRPr="001E1F8E" w:rsidRDefault="00B85AAC" w:rsidP="008E1440">
                            <w:pPr>
                              <w:rPr>
                                <w:sz w:val="22"/>
                                <w:szCs w:val="22"/>
                              </w:rPr>
                            </w:pPr>
                            <w:r w:rsidRPr="001E1F8E">
                              <w:rPr>
                                <w:sz w:val="22"/>
                                <w:szCs w:val="22"/>
                              </w:rPr>
                              <w:t>Housing Deal for Oxfordshire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4pt;margin-top:136.95pt;width:135.6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" fillcolor="window" strokeweight=".5pt">
                <v:textbox>
                  <w:txbxContent>
                    <w:p w:rsidR="00B85AAC" w:rsidRPr="001E1F8E" w:rsidRDefault="00B85AAC" w:rsidP="008E1440">
                      <w:pPr>
                        <w:rPr>
                          <w:sz w:val="22"/>
                          <w:szCs w:val="22"/>
                        </w:rPr>
                      </w:pPr>
                      <w:r w:rsidRPr="001E1F8E">
                        <w:rPr>
                          <w:sz w:val="22"/>
                          <w:szCs w:val="22"/>
                        </w:rPr>
                        <w:t>Housing Deal for Oxfordshire</w:t>
                      </w:r>
                    </w:p>
                  </w:txbxContent>
                </v:textbox>
              </v:shape>
            </w:pict>
          </mc:Fallback>
        </mc:AlternateContent>
      </w:r>
      <w:r>
        <w:rPr>
          <w:noProof/>
          <w:sz w:val="22"/>
          <w:szCs w:val="22"/>
          <w:lang w:eastAsia="en-GB"/>
        </w:rPr>
        <mc:AlternateContent>
          <mc:Choice Requires="wps">
            <w:drawing>
              <wp:anchor distT="0" distB="0" distL="114300" distR="114300" simplePos="0" relativeHeight="251660288" behindDoc="0" locked="0" layoutInCell="1" allowOverlap="1" wp14:anchorId="534D13D8" wp14:editId="4EFF1EEF">
                <wp:simplePos x="0" y="0"/>
                <wp:positionH relativeFrom="column">
                  <wp:posOffset>4602480</wp:posOffset>
                </wp:positionH>
                <wp:positionV relativeFrom="paragraph">
                  <wp:posOffset>390525</wp:posOffset>
                </wp:positionV>
                <wp:extent cx="1494790" cy="5105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1494790" cy="510540"/>
                        </a:xfrm>
                        <a:prstGeom prst="rect">
                          <a:avLst/>
                        </a:prstGeom>
                        <a:solidFill>
                          <a:sysClr val="window" lastClr="FFFFFF"/>
                        </a:solidFill>
                        <a:ln w="6350">
                          <a:solidFill>
                            <a:prstClr val="black"/>
                          </a:solidFill>
                        </a:ln>
                        <a:effectLst/>
                      </wps:spPr>
                      <wps:txbx>
                        <w:txbxContent>
                          <w:p w:rsidR="00B85AAC" w:rsidRPr="001E1F8E" w:rsidRDefault="00B85AAC" w:rsidP="008E1440">
                            <w:pPr>
                              <w:rPr>
                                <w:sz w:val="22"/>
                                <w:szCs w:val="22"/>
                              </w:rPr>
                            </w:pPr>
                            <w:r w:rsidRPr="001E1F8E">
                              <w:rPr>
                                <w:sz w:val="22"/>
                                <w:szCs w:val="22"/>
                              </w:rPr>
                              <w:t>Housing Infrastructure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62.4pt;margin-top:30.75pt;width:117.7pt;height:4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" fillcolor="window" strokeweight=".5pt">
                <v:textbox>
                  <w:txbxContent>
                    <w:p w:rsidR="00B85AAC" w:rsidRPr="001E1F8E" w:rsidRDefault="00B85AAC" w:rsidP="008E1440">
                      <w:pPr>
                        <w:rPr>
                          <w:sz w:val="22"/>
                          <w:szCs w:val="22"/>
                        </w:rPr>
                      </w:pPr>
                      <w:r w:rsidRPr="001E1F8E">
                        <w:rPr>
                          <w:sz w:val="22"/>
                          <w:szCs w:val="22"/>
                        </w:rPr>
                        <w:t>Housing Infrastructure Fund</w:t>
                      </w:r>
                    </w:p>
                  </w:txbxContent>
                </v:textbox>
              </v:shape>
            </w:pict>
          </mc:Fallback>
        </mc:AlternateContent>
      </w:r>
      <w:r w:rsidRPr="00BD410D">
        <w:rPr>
          <w:noProof/>
          <w:sz w:val="22"/>
          <w:szCs w:val="22"/>
          <w:lang w:eastAsia="en-GB"/>
        </w:rPr>
        <mc:AlternateContent>
          <mc:Choice Requires="wps">
            <w:drawing>
              <wp:anchor distT="0" distB="0" distL="114300" distR="114300" simplePos="0" relativeHeight="251662336" behindDoc="0" locked="0" layoutInCell="1" allowOverlap="1" wp14:anchorId="2C528C05" wp14:editId="75D26372">
                <wp:simplePos x="0" y="0"/>
                <wp:positionH relativeFrom="column">
                  <wp:posOffset>-670560</wp:posOffset>
                </wp:positionH>
                <wp:positionV relativeFrom="paragraph">
                  <wp:posOffset>2120265</wp:posOffset>
                </wp:positionV>
                <wp:extent cx="1516380" cy="1403985"/>
                <wp:effectExtent l="0" t="0" r="266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03985"/>
                        </a:xfrm>
                        <a:prstGeom prst="rect">
                          <a:avLst/>
                        </a:prstGeom>
                        <a:solidFill>
                          <a:srgbClr val="FFFFFF"/>
                        </a:solidFill>
                        <a:ln w="9525">
                          <a:solidFill>
                            <a:srgbClr val="000000"/>
                          </a:solidFill>
                          <a:miter lim="800000"/>
                          <a:headEnd/>
                          <a:tailEnd/>
                        </a:ln>
                      </wps:spPr>
                      <wps:txbx>
                        <w:txbxContent>
                          <w:p w:rsidR="00B85AAC" w:rsidRPr="001E1F8E" w:rsidRDefault="00B85AAC" w:rsidP="008E1440">
                            <w:pPr>
                              <w:rPr>
                                <w:sz w:val="22"/>
                                <w:szCs w:val="22"/>
                              </w:rPr>
                            </w:pPr>
                            <w:r w:rsidRPr="001E1F8E">
                              <w:rPr>
                                <w:sz w:val="22"/>
                                <w:szCs w:val="22"/>
                              </w:rPr>
                              <w:t>Support from DCLG on joint working pilot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2.8pt;margin-top:166.95pt;width:119.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">
                <v:textbox style="mso-fit-shape-to-text:t">
                  <w:txbxContent>
                    <w:p w:rsidR="00B85AAC" w:rsidRPr="001E1F8E" w:rsidRDefault="00B85AAC" w:rsidP="008E1440">
                      <w:pPr>
                        <w:rPr>
                          <w:sz w:val="22"/>
                          <w:szCs w:val="22"/>
                        </w:rPr>
                      </w:pPr>
                      <w:r w:rsidRPr="001E1F8E">
                        <w:rPr>
                          <w:sz w:val="22"/>
                          <w:szCs w:val="22"/>
                        </w:rPr>
                        <w:t>Support from DCLG on joint working pilot</w:t>
                      </w:r>
                    </w:p>
                  </w:txbxContent>
                </v:textbox>
              </v:shape>
            </w:pict>
          </mc:Fallback>
        </mc:AlternateContent>
      </w:r>
      <w:r w:rsidRPr="00BD410D">
        <w:rPr>
          <w:noProof/>
          <w:sz w:val="22"/>
          <w:szCs w:val="22"/>
          <w:lang w:eastAsia="en-GB"/>
        </w:rPr>
        <mc:AlternateContent>
          <mc:Choice Requires="wps">
            <w:drawing>
              <wp:anchor distT="0" distB="0" distL="114300" distR="114300" simplePos="0" relativeHeight="251659264" behindDoc="0" locked="0" layoutInCell="1" allowOverlap="1" wp14:anchorId="233DFF22" wp14:editId="1C71726D">
                <wp:simplePos x="0" y="0"/>
                <wp:positionH relativeFrom="column">
                  <wp:posOffset>-615950</wp:posOffset>
                </wp:positionH>
                <wp:positionV relativeFrom="paragraph">
                  <wp:posOffset>161925</wp:posOffset>
                </wp:positionV>
                <wp:extent cx="182118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3985"/>
                        </a:xfrm>
                        <a:prstGeom prst="rect">
                          <a:avLst/>
                        </a:prstGeom>
                        <a:solidFill>
                          <a:srgbClr val="FFFFFF"/>
                        </a:solidFill>
                        <a:ln w="9525">
                          <a:solidFill>
                            <a:srgbClr val="000000"/>
                          </a:solidFill>
                          <a:miter lim="800000"/>
                          <a:headEnd/>
                          <a:tailEnd/>
                        </a:ln>
                      </wps:spPr>
                      <wps:txbx>
                        <w:txbxContent>
                          <w:p w:rsidR="00B85AAC" w:rsidRPr="001E1F8E" w:rsidRDefault="00B85AAC" w:rsidP="008E1440">
                            <w:pPr>
                              <w:rPr>
                                <w:sz w:val="22"/>
                                <w:szCs w:val="22"/>
                              </w:rPr>
                            </w:pPr>
                            <w:r w:rsidRPr="001E1F8E">
                              <w:rPr>
                                <w:sz w:val="22"/>
                                <w:szCs w:val="22"/>
                              </w:rPr>
                              <w:t>National Infrastructure Commission recommendations to government on investment in Oxford to Cambridge corridor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5pt;margin-top:12.75pt;width:14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r2JgIAAE4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">
                <v:textbox style="mso-fit-shape-to-text:t">
                  <w:txbxContent>
                    <w:p w:rsidR="00B85AAC" w:rsidRPr="001E1F8E" w:rsidRDefault="00B85AAC" w:rsidP="008E1440">
                      <w:pPr>
                        <w:rPr>
                          <w:sz w:val="22"/>
                          <w:szCs w:val="22"/>
                        </w:rPr>
                      </w:pPr>
                      <w:r w:rsidRPr="001E1F8E">
                        <w:rPr>
                          <w:sz w:val="22"/>
                          <w:szCs w:val="22"/>
                        </w:rPr>
                        <w:t>National Infrastructure Commission recommendations to government on investment in Oxford to Cambridge corridor</w:t>
                      </w:r>
                    </w:p>
                  </w:txbxContent>
                </v:textbox>
              </v:shape>
            </w:pict>
          </mc:Fallback>
        </mc:AlternateContent>
      </w:r>
      <w:r>
        <w:rPr>
          <w:noProof/>
          <w:sz w:val="22"/>
          <w:szCs w:val="22"/>
          <w:lang w:eastAsia="en-GB"/>
        </w:rPr>
        <w:drawing>
          <wp:inline distT="0" distB="0" distL="0" distR="0" wp14:anchorId="473F867B" wp14:editId="6B16F014">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E1440" w:rsidRPr="001E1F8E" w:rsidRDefault="008E1440" w:rsidP="008E1440">
      <w:pPr>
        <w:rPr>
          <w:sz w:val="22"/>
          <w:szCs w:val="22"/>
        </w:rPr>
      </w:pPr>
    </w:p>
    <w:p w:rsidR="008E1440" w:rsidRPr="008F20D3" w:rsidRDefault="008E1440" w:rsidP="00A027C9">
      <w:pPr>
        <w:pStyle w:val="ListParagraph"/>
        <w:numPr>
          <w:ilvl w:val="0"/>
          <w:numId w:val="49"/>
        </w:numPr>
        <w:rPr>
          <w:color w:val="000000"/>
          <w:sz w:val="22"/>
          <w:szCs w:val="22"/>
        </w:rPr>
      </w:pPr>
      <w:r w:rsidRPr="008F20D3">
        <w:rPr>
          <w:color w:val="000000"/>
          <w:sz w:val="22"/>
          <w:szCs w:val="22"/>
        </w:rPr>
        <w:t xml:space="preserve">The strong progress </w:t>
      </w:r>
      <w:r w:rsidR="00410564">
        <w:rPr>
          <w:color w:val="000000"/>
          <w:sz w:val="22"/>
          <w:szCs w:val="22"/>
        </w:rPr>
        <w:t xml:space="preserve">that is </w:t>
      </w:r>
      <w:r w:rsidRPr="008F20D3">
        <w:rPr>
          <w:color w:val="000000"/>
          <w:sz w:val="22"/>
          <w:szCs w:val="22"/>
        </w:rPr>
        <w:t xml:space="preserve">being made toward the SEP targets of 85,600 jobs and 100,000 new homes by 2031 demonstrate the potential for economic and housing growth in Oxfordshire. </w:t>
      </w:r>
      <w:r w:rsidR="00CC7EBA">
        <w:rPr>
          <w:color w:val="000000"/>
          <w:sz w:val="22"/>
          <w:szCs w:val="22"/>
        </w:rPr>
        <w:t xml:space="preserve"> </w:t>
      </w:r>
      <w:r w:rsidR="00B4174E">
        <w:rPr>
          <w:color w:val="000000"/>
          <w:sz w:val="22"/>
          <w:szCs w:val="22"/>
        </w:rPr>
        <w:t>T</w:t>
      </w:r>
      <w:r w:rsidR="005F5746">
        <w:rPr>
          <w:color w:val="000000"/>
          <w:sz w:val="22"/>
          <w:szCs w:val="22"/>
        </w:rPr>
        <w:t xml:space="preserve">he SEP </w:t>
      </w:r>
      <w:r w:rsidR="00B4174E">
        <w:rPr>
          <w:color w:val="000000"/>
          <w:sz w:val="22"/>
          <w:szCs w:val="22"/>
        </w:rPr>
        <w:t xml:space="preserve">will be followed by </w:t>
      </w:r>
      <w:r w:rsidR="005F5746">
        <w:rPr>
          <w:color w:val="000000"/>
          <w:sz w:val="22"/>
          <w:szCs w:val="22"/>
        </w:rPr>
        <w:t xml:space="preserve">the development of an Economic Industrial </w:t>
      </w:r>
      <w:r w:rsidR="00DE1BCC">
        <w:rPr>
          <w:color w:val="000000"/>
          <w:sz w:val="22"/>
          <w:szCs w:val="22"/>
        </w:rPr>
        <w:t>Strategy that</w:t>
      </w:r>
      <w:r w:rsidR="005F5746">
        <w:rPr>
          <w:color w:val="000000"/>
          <w:sz w:val="22"/>
          <w:szCs w:val="22"/>
        </w:rPr>
        <w:t xml:space="preserve"> will consider the economic and productivity issues facing Oxfordshire through to 2050. </w:t>
      </w:r>
      <w:r w:rsidR="00CC7EBA">
        <w:rPr>
          <w:color w:val="000000"/>
          <w:sz w:val="22"/>
          <w:szCs w:val="22"/>
        </w:rPr>
        <w:t xml:space="preserve"> </w:t>
      </w:r>
      <w:r w:rsidRPr="008F20D3">
        <w:rPr>
          <w:color w:val="000000"/>
          <w:sz w:val="22"/>
          <w:szCs w:val="22"/>
        </w:rPr>
        <w:t>There is</w:t>
      </w:r>
      <w:r w:rsidR="00CC7EBA">
        <w:rPr>
          <w:color w:val="000000"/>
          <w:sz w:val="22"/>
          <w:szCs w:val="22"/>
        </w:rPr>
        <w:t xml:space="preserve"> </w:t>
      </w:r>
      <w:r w:rsidRPr="008F20D3">
        <w:rPr>
          <w:color w:val="000000"/>
          <w:sz w:val="22"/>
          <w:szCs w:val="22"/>
        </w:rPr>
        <w:t xml:space="preserve">a compelling case for </w:t>
      </w:r>
      <w:proofErr w:type="gramStart"/>
      <w:r w:rsidRPr="008F20D3">
        <w:rPr>
          <w:color w:val="000000"/>
          <w:sz w:val="22"/>
          <w:szCs w:val="22"/>
        </w:rPr>
        <w:t>progress</w:t>
      </w:r>
      <w:r w:rsidR="00D277F6">
        <w:rPr>
          <w:color w:val="000000"/>
          <w:sz w:val="22"/>
          <w:szCs w:val="22"/>
        </w:rPr>
        <w:t>ing</w:t>
      </w:r>
      <w:proofErr w:type="gramEnd"/>
      <w:r w:rsidR="00D277F6">
        <w:rPr>
          <w:color w:val="000000"/>
          <w:sz w:val="22"/>
          <w:szCs w:val="22"/>
        </w:rPr>
        <w:t xml:space="preserve"> a JSP</w:t>
      </w:r>
      <w:r w:rsidRPr="008F20D3">
        <w:rPr>
          <w:color w:val="000000"/>
          <w:sz w:val="22"/>
          <w:szCs w:val="22"/>
        </w:rPr>
        <w:t xml:space="preserve"> in a timely manner</w:t>
      </w:r>
      <w:r w:rsidR="005F5746">
        <w:rPr>
          <w:color w:val="000000"/>
          <w:sz w:val="22"/>
          <w:szCs w:val="22"/>
        </w:rPr>
        <w:t xml:space="preserve"> and considering the same </w:t>
      </w:r>
      <w:r w:rsidR="00DE1BCC">
        <w:rPr>
          <w:color w:val="000000"/>
          <w:sz w:val="22"/>
          <w:szCs w:val="22"/>
        </w:rPr>
        <w:t>period</w:t>
      </w:r>
      <w:r w:rsidRPr="008F20D3">
        <w:rPr>
          <w:color w:val="000000"/>
          <w:sz w:val="22"/>
          <w:szCs w:val="22"/>
        </w:rPr>
        <w:t xml:space="preserve"> to plan for sustainable growth and to secure investment in the infrastructure required.</w:t>
      </w:r>
    </w:p>
    <w:p w:rsidR="008E1440" w:rsidRPr="006D43EA" w:rsidRDefault="008E1440" w:rsidP="008E1440">
      <w:pPr>
        <w:rPr>
          <w:sz w:val="22"/>
          <w:szCs w:val="22"/>
        </w:rPr>
      </w:pPr>
    </w:p>
    <w:p w:rsidR="00ED57C1" w:rsidRDefault="00A95C47" w:rsidP="00FE5E2D">
      <w:pPr>
        <w:spacing w:before="120" w:after="120"/>
        <w:rPr>
          <w:rFonts w:eastAsia="Times New Roman"/>
          <w:b/>
          <w:bCs/>
          <w:iCs/>
          <w:u w:val="single"/>
          <w:lang w:eastAsia="en-GB"/>
        </w:rPr>
      </w:pPr>
      <w:r>
        <w:rPr>
          <w:rFonts w:eastAsia="Times New Roman"/>
          <w:b/>
          <w:bCs/>
          <w:iCs/>
          <w:u w:val="single"/>
          <w:lang w:eastAsia="en-GB"/>
        </w:rPr>
        <w:t>The s</w:t>
      </w:r>
      <w:r w:rsidR="00ED57C1" w:rsidRPr="00FE5E2D">
        <w:rPr>
          <w:rFonts w:eastAsia="Times New Roman"/>
          <w:b/>
          <w:bCs/>
          <w:iCs/>
          <w:u w:val="single"/>
          <w:lang w:eastAsia="en-GB"/>
        </w:rPr>
        <w:t>cope of the Plan</w:t>
      </w:r>
    </w:p>
    <w:p w:rsidR="0000681E" w:rsidRPr="00FE5E2D" w:rsidRDefault="00A95C47" w:rsidP="00A027C9">
      <w:pPr>
        <w:pStyle w:val="ListParagraph"/>
        <w:numPr>
          <w:ilvl w:val="0"/>
          <w:numId w:val="49"/>
        </w:numPr>
        <w:rPr>
          <w:sz w:val="22"/>
          <w:szCs w:val="22"/>
        </w:rPr>
      </w:pPr>
      <w:r>
        <w:rPr>
          <w:sz w:val="22"/>
          <w:szCs w:val="22"/>
        </w:rPr>
        <w:t>The JSP will create a f</w:t>
      </w:r>
      <w:r w:rsidR="0000681E" w:rsidRPr="00FE5E2D">
        <w:rPr>
          <w:sz w:val="22"/>
          <w:szCs w:val="22"/>
        </w:rPr>
        <w:t xml:space="preserve">ramework to articulate Oxfordshire's growth ambitions to </w:t>
      </w:r>
      <w:r w:rsidR="0000681E" w:rsidRPr="00870870">
        <w:rPr>
          <w:sz w:val="22"/>
          <w:szCs w:val="22"/>
        </w:rPr>
        <w:t>2050</w:t>
      </w:r>
      <w:r w:rsidR="008E1440" w:rsidRPr="00870870">
        <w:rPr>
          <w:sz w:val="22"/>
          <w:szCs w:val="22"/>
        </w:rPr>
        <w:t xml:space="preserve"> b</w:t>
      </w:r>
      <w:r w:rsidR="00CC2BAF">
        <w:rPr>
          <w:sz w:val="22"/>
          <w:szCs w:val="22"/>
        </w:rPr>
        <w:t>y:</w:t>
      </w:r>
    </w:p>
    <w:p w:rsidR="0000681E" w:rsidRPr="00D27BE5" w:rsidRDefault="008E1440" w:rsidP="00FE5E2D">
      <w:pPr>
        <w:pStyle w:val="ListParagraph"/>
        <w:numPr>
          <w:ilvl w:val="0"/>
          <w:numId w:val="27"/>
        </w:numPr>
        <w:contextualSpacing w:val="0"/>
        <w:rPr>
          <w:sz w:val="22"/>
          <w:szCs w:val="22"/>
        </w:rPr>
      </w:pPr>
      <w:proofErr w:type="gramStart"/>
      <w:r>
        <w:rPr>
          <w:sz w:val="22"/>
          <w:szCs w:val="22"/>
        </w:rPr>
        <w:t>setting</w:t>
      </w:r>
      <w:proofErr w:type="gramEnd"/>
      <w:r>
        <w:rPr>
          <w:sz w:val="22"/>
          <w:szCs w:val="22"/>
        </w:rPr>
        <w:t xml:space="preserve"> out a</w:t>
      </w:r>
      <w:r w:rsidR="0000681E" w:rsidRPr="00D27BE5">
        <w:rPr>
          <w:sz w:val="22"/>
          <w:szCs w:val="22"/>
        </w:rPr>
        <w:t xml:space="preserve">n overarching vision </w:t>
      </w:r>
      <w:r w:rsidR="00EE7125">
        <w:rPr>
          <w:sz w:val="22"/>
          <w:szCs w:val="22"/>
        </w:rPr>
        <w:t>including</w:t>
      </w:r>
      <w:r w:rsidR="00EE7125" w:rsidRPr="00D27BE5">
        <w:rPr>
          <w:sz w:val="22"/>
          <w:szCs w:val="22"/>
        </w:rPr>
        <w:t xml:space="preserve"> </w:t>
      </w:r>
      <w:r w:rsidR="0000681E" w:rsidRPr="00D27BE5">
        <w:rPr>
          <w:sz w:val="22"/>
          <w:szCs w:val="22"/>
        </w:rPr>
        <w:t>economic and housing growth.</w:t>
      </w:r>
    </w:p>
    <w:p w:rsidR="0000681E" w:rsidRPr="00D27BE5" w:rsidRDefault="008E1440" w:rsidP="00FE5E2D">
      <w:pPr>
        <w:pStyle w:val="ListParagraph"/>
        <w:numPr>
          <w:ilvl w:val="0"/>
          <w:numId w:val="27"/>
        </w:numPr>
        <w:contextualSpacing w:val="0"/>
        <w:rPr>
          <w:sz w:val="22"/>
          <w:szCs w:val="22"/>
        </w:rPr>
      </w:pPr>
      <w:r>
        <w:rPr>
          <w:sz w:val="22"/>
          <w:szCs w:val="22"/>
        </w:rPr>
        <w:t>i</w:t>
      </w:r>
      <w:r w:rsidR="0000681E" w:rsidRPr="00D27BE5">
        <w:rPr>
          <w:sz w:val="22"/>
          <w:szCs w:val="22"/>
        </w:rPr>
        <w:t xml:space="preserve">dentifying the scale of </w:t>
      </w:r>
      <w:r w:rsidR="00A96C54">
        <w:rPr>
          <w:sz w:val="22"/>
          <w:szCs w:val="22"/>
        </w:rPr>
        <w:t>economic development</w:t>
      </w:r>
      <w:r w:rsidR="00A96C54" w:rsidRPr="00D27BE5">
        <w:rPr>
          <w:sz w:val="22"/>
          <w:szCs w:val="22"/>
        </w:rPr>
        <w:t xml:space="preserve"> </w:t>
      </w:r>
      <w:r w:rsidR="0000681E" w:rsidRPr="00D27BE5">
        <w:rPr>
          <w:sz w:val="22"/>
          <w:szCs w:val="22"/>
        </w:rPr>
        <w:t xml:space="preserve">and housing to be provided across </w:t>
      </w:r>
      <w:r w:rsidR="00A96C54">
        <w:rPr>
          <w:sz w:val="22"/>
          <w:szCs w:val="22"/>
        </w:rPr>
        <w:t>Oxfordshire</w:t>
      </w:r>
      <w:r w:rsidR="0000681E" w:rsidRPr="00D27BE5">
        <w:rPr>
          <w:sz w:val="22"/>
          <w:szCs w:val="22"/>
        </w:rPr>
        <w:t>.</w:t>
      </w:r>
    </w:p>
    <w:p w:rsidR="0000681E" w:rsidRDefault="008E1440" w:rsidP="00FE5E2D">
      <w:pPr>
        <w:pStyle w:val="ListParagraph"/>
        <w:numPr>
          <w:ilvl w:val="0"/>
          <w:numId w:val="27"/>
        </w:numPr>
        <w:contextualSpacing w:val="0"/>
        <w:rPr>
          <w:sz w:val="22"/>
          <w:szCs w:val="22"/>
        </w:rPr>
      </w:pPr>
      <w:r>
        <w:rPr>
          <w:sz w:val="22"/>
          <w:szCs w:val="22"/>
        </w:rPr>
        <w:t>i</w:t>
      </w:r>
      <w:r w:rsidR="0000681E" w:rsidRPr="00D27BE5">
        <w:rPr>
          <w:sz w:val="22"/>
          <w:szCs w:val="22"/>
        </w:rPr>
        <w:t xml:space="preserve">dentifying broad spatial </w:t>
      </w:r>
      <w:r w:rsidR="00B40B1B">
        <w:rPr>
          <w:sz w:val="22"/>
          <w:szCs w:val="22"/>
        </w:rPr>
        <w:t xml:space="preserve">options for growth </w:t>
      </w:r>
      <w:r w:rsidR="0000681E" w:rsidRPr="00D27BE5">
        <w:rPr>
          <w:sz w:val="22"/>
          <w:szCs w:val="22"/>
        </w:rPr>
        <w:t xml:space="preserve"> and the infrastructure requirements to support this broad spatial pattern.</w:t>
      </w:r>
    </w:p>
    <w:p w:rsidR="00410564" w:rsidRPr="00D27BE5" w:rsidRDefault="00410564" w:rsidP="00FE5E2D">
      <w:pPr>
        <w:pStyle w:val="ListParagraph"/>
        <w:numPr>
          <w:ilvl w:val="0"/>
          <w:numId w:val="27"/>
        </w:numPr>
        <w:contextualSpacing w:val="0"/>
        <w:rPr>
          <w:sz w:val="22"/>
          <w:szCs w:val="22"/>
        </w:rPr>
      </w:pPr>
      <w:r>
        <w:rPr>
          <w:sz w:val="22"/>
          <w:szCs w:val="22"/>
        </w:rPr>
        <w:t>potentially articulate a longer term single spatial strategy for the county</w:t>
      </w:r>
    </w:p>
    <w:p w:rsidR="0000681E" w:rsidRDefault="008E1440" w:rsidP="00FE5E2D">
      <w:pPr>
        <w:pStyle w:val="ListParagraph"/>
        <w:numPr>
          <w:ilvl w:val="0"/>
          <w:numId w:val="27"/>
        </w:numPr>
        <w:contextualSpacing w:val="0"/>
        <w:rPr>
          <w:sz w:val="22"/>
          <w:szCs w:val="22"/>
        </w:rPr>
      </w:pPr>
      <w:r>
        <w:rPr>
          <w:sz w:val="22"/>
          <w:szCs w:val="22"/>
        </w:rPr>
        <w:t>i</w:t>
      </w:r>
      <w:r w:rsidR="0000681E" w:rsidRPr="00D27BE5">
        <w:rPr>
          <w:sz w:val="22"/>
          <w:szCs w:val="22"/>
        </w:rPr>
        <w:t>dentifying longer</w:t>
      </w:r>
      <w:r w:rsidR="00D277F6">
        <w:rPr>
          <w:sz w:val="22"/>
          <w:szCs w:val="22"/>
        </w:rPr>
        <w:t>-</w:t>
      </w:r>
      <w:r w:rsidR="0000681E" w:rsidRPr="00D27BE5">
        <w:rPr>
          <w:sz w:val="22"/>
          <w:szCs w:val="22"/>
        </w:rPr>
        <w:t xml:space="preserve"> term infrastructure investment priorities.</w:t>
      </w:r>
    </w:p>
    <w:p w:rsidR="0000681E" w:rsidRPr="00D27BE5" w:rsidRDefault="00207A34" w:rsidP="008E1440">
      <w:pPr>
        <w:pStyle w:val="ListParagraph"/>
        <w:numPr>
          <w:ilvl w:val="0"/>
          <w:numId w:val="36"/>
        </w:numPr>
        <w:contextualSpacing w:val="0"/>
        <w:rPr>
          <w:sz w:val="22"/>
          <w:szCs w:val="22"/>
        </w:rPr>
      </w:pPr>
      <w:r>
        <w:rPr>
          <w:sz w:val="22"/>
          <w:szCs w:val="22"/>
        </w:rPr>
        <w:t>a</w:t>
      </w:r>
      <w:r w:rsidR="0000681E" w:rsidRPr="00D27BE5">
        <w:rPr>
          <w:sz w:val="22"/>
          <w:szCs w:val="22"/>
        </w:rPr>
        <w:t>ligning shared spatial, economic and infrastructure priorities</w:t>
      </w:r>
    </w:p>
    <w:p w:rsidR="0000681E" w:rsidRPr="00D27BE5" w:rsidRDefault="00207A34" w:rsidP="008E1440">
      <w:pPr>
        <w:pStyle w:val="ListParagraph"/>
        <w:numPr>
          <w:ilvl w:val="0"/>
          <w:numId w:val="36"/>
        </w:numPr>
        <w:contextualSpacing w:val="0"/>
        <w:rPr>
          <w:sz w:val="22"/>
          <w:szCs w:val="22"/>
        </w:rPr>
      </w:pPr>
      <w:r>
        <w:rPr>
          <w:sz w:val="22"/>
          <w:szCs w:val="22"/>
        </w:rPr>
        <w:t>p</w:t>
      </w:r>
      <w:r w:rsidR="0000681E" w:rsidRPr="00D27BE5">
        <w:rPr>
          <w:sz w:val="22"/>
          <w:szCs w:val="22"/>
        </w:rPr>
        <w:t>roviding a robust evidence base for local plan preparation and reviews</w:t>
      </w:r>
    </w:p>
    <w:p w:rsidR="0000681E" w:rsidRDefault="00207A34" w:rsidP="008E1440">
      <w:pPr>
        <w:pStyle w:val="ListParagraph"/>
        <w:numPr>
          <w:ilvl w:val="0"/>
          <w:numId w:val="36"/>
        </w:numPr>
        <w:contextualSpacing w:val="0"/>
        <w:rPr>
          <w:sz w:val="22"/>
          <w:szCs w:val="22"/>
        </w:rPr>
      </w:pPr>
      <w:r>
        <w:rPr>
          <w:sz w:val="22"/>
          <w:szCs w:val="22"/>
        </w:rPr>
        <w:t>f</w:t>
      </w:r>
      <w:r w:rsidR="0000681E" w:rsidRPr="00D27BE5">
        <w:rPr>
          <w:sz w:val="22"/>
          <w:szCs w:val="22"/>
        </w:rPr>
        <w:t xml:space="preserve">ulfilling </w:t>
      </w:r>
      <w:r w:rsidR="00EE7125">
        <w:rPr>
          <w:sz w:val="22"/>
          <w:szCs w:val="22"/>
        </w:rPr>
        <w:t xml:space="preserve">the </w:t>
      </w:r>
      <w:r w:rsidR="0000681E" w:rsidRPr="00D27BE5">
        <w:rPr>
          <w:sz w:val="22"/>
          <w:szCs w:val="22"/>
        </w:rPr>
        <w:t xml:space="preserve">requirements of </w:t>
      </w:r>
      <w:r w:rsidR="00EE7125">
        <w:rPr>
          <w:sz w:val="22"/>
          <w:szCs w:val="22"/>
        </w:rPr>
        <w:t xml:space="preserve">the </w:t>
      </w:r>
      <w:r w:rsidR="0000681E" w:rsidRPr="00D27BE5">
        <w:rPr>
          <w:sz w:val="22"/>
          <w:szCs w:val="22"/>
        </w:rPr>
        <w:t xml:space="preserve">Duty to Cooperate </w:t>
      </w:r>
      <w:r w:rsidR="00EE7125">
        <w:rPr>
          <w:sz w:val="22"/>
          <w:szCs w:val="22"/>
        </w:rPr>
        <w:t>in relation to joint working</w:t>
      </w:r>
      <w:r w:rsidR="0000681E" w:rsidRPr="00D27BE5">
        <w:rPr>
          <w:sz w:val="22"/>
          <w:szCs w:val="22"/>
        </w:rPr>
        <w:t xml:space="preserve"> between local planning authorities</w:t>
      </w:r>
    </w:p>
    <w:p w:rsidR="00A95C47" w:rsidRPr="00D27BE5" w:rsidRDefault="00A95C47" w:rsidP="008E1440">
      <w:pPr>
        <w:pStyle w:val="ListParagraph"/>
        <w:numPr>
          <w:ilvl w:val="0"/>
          <w:numId w:val="36"/>
        </w:numPr>
        <w:contextualSpacing w:val="0"/>
        <w:rPr>
          <w:sz w:val="22"/>
          <w:szCs w:val="22"/>
        </w:rPr>
      </w:pPr>
      <w:r>
        <w:rPr>
          <w:sz w:val="22"/>
          <w:szCs w:val="22"/>
        </w:rPr>
        <w:t>Set out a Statement of Common Ground (SoCG) between the Local Authorities</w:t>
      </w:r>
    </w:p>
    <w:p w:rsidR="0000681E" w:rsidRPr="00D27BE5" w:rsidRDefault="00207A34" w:rsidP="008E1440">
      <w:pPr>
        <w:pStyle w:val="ListParagraph"/>
        <w:numPr>
          <w:ilvl w:val="0"/>
          <w:numId w:val="36"/>
        </w:numPr>
        <w:contextualSpacing w:val="0"/>
        <w:rPr>
          <w:sz w:val="22"/>
          <w:szCs w:val="22"/>
        </w:rPr>
      </w:pPr>
      <w:r>
        <w:rPr>
          <w:sz w:val="22"/>
          <w:szCs w:val="22"/>
        </w:rPr>
        <w:t>h</w:t>
      </w:r>
      <w:r w:rsidR="0000681E" w:rsidRPr="00D27BE5">
        <w:rPr>
          <w:sz w:val="22"/>
          <w:szCs w:val="22"/>
        </w:rPr>
        <w:t xml:space="preserve">elping to enable the </w:t>
      </w:r>
      <w:r w:rsidR="00155A5F">
        <w:rPr>
          <w:sz w:val="22"/>
          <w:szCs w:val="22"/>
        </w:rPr>
        <w:t>authorities collectively</w:t>
      </w:r>
      <w:r w:rsidR="00155A5F" w:rsidRPr="00D27BE5">
        <w:rPr>
          <w:sz w:val="22"/>
          <w:szCs w:val="22"/>
        </w:rPr>
        <w:t xml:space="preserve"> </w:t>
      </w:r>
      <w:r w:rsidR="0000681E" w:rsidRPr="00D27BE5">
        <w:rPr>
          <w:sz w:val="22"/>
          <w:szCs w:val="22"/>
        </w:rPr>
        <w:t xml:space="preserve">to contribute more </w:t>
      </w:r>
      <w:r w:rsidR="00155A5F">
        <w:rPr>
          <w:sz w:val="22"/>
          <w:szCs w:val="22"/>
        </w:rPr>
        <w:t xml:space="preserve">collaboratively </w:t>
      </w:r>
      <w:r w:rsidR="0000681E" w:rsidRPr="00D27BE5">
        <w:rPr>
          <w:sz w:val="22"/>
          <w:szCs w:val="22"/>
        </w:rPr>
        <w:t>to the development of the Oxford-Cambridge Corridor and other national agendas</w:t>
      </w:r>
    </w:p>
    <w:p w:rsidR="0000681E" w:rsidRDefault="00410564" w:rsidP="008E1440">
      <w:pPr>
        <w:pStyle w:val="ListParagraph"/>
        <w:numPr>
          <w:ilvl w:val="0"/>
          <w:numId w:val="36"/>
        </w:numPr>
        <w:contextualSpacing w:val="0"/>
        <w:rPr>
          <w:sz w:val="22"/>
          <w:szCs w:val="22"/>
        </w:rPr>
      </w:pPr>
      <w:r>
        <w:rPr>
          <w:sz w:val="22"/>
          <w:szCs w:val="22"/>
        </w:rPr>
        <w:t xml:space="preserve">depending upon the scope of the JSP, </w:t>
      </w:r>
      <w:r w:rsidR="00207A34">
        <w:rPr>
          <w:sz w:val="22"/>
          <w:szCs w:val="22"/>
        </w:rPr>
        <w:t>p</w:t>
      </w:r>
      <w:r w:rsidR="0000681E" w:rsidRPr="00D27BE5">
        <w:rPr>
          <w:sz w:val="22"/>
          <w:szCs w:val="22"/>
        </w:rPr>
        <w:t>rovid</w:t>
      </w:r>
      <w:r>
        <w:rPr>
          <w:sz w:val="22"/>
          <w:szCs w:val="22"/>
        </w:rPr>
        <w:t>e</w:t>
      </w:r>
      <w:r w:rsidR="0000681E" w:rsidRPr="00D27BE5">
        <w:rPr>
          <w:sz w:val="22"/>
          <w:szCs w:val="22"/>
        </w:rPr>
        <w:t xml:space="preserve"> a clear </w:t>
      </w:r>
      <w:r w:rsidR="00EE7125">
        <w:rPr>
          <w:sz w:val="22"/>
          <w:szCs w:val="22"/>
        </w:rPr>
        <w:t xml:space="preserve">long-term </w:t>
      </w:r>
      <w:r w:rsidR="0000681E" w:rsidRPr="00D27BE5">
        <w:rPr>
          <w:sz w:val="22"/>
          <w:szCs w:val="22"/>
        </w:rPr>
        <w:t>strategy for all stakeholders</w:t>
      </w:r>
      <w:r w:rsidR="00EE7125">
        <w:rPr>
          <w:sz w:val="22"/>
          <w:szCs w:val="22"/>
        </w:rPr>
        <w:t xml:space="preserve"> to provide certainty and stimulate investment.</w:t>
      </w:r>
    </w:p>
    <w:p w:rsidR="00CD3C48" w:rsidRPr="00CD3C48" w:rsidRDefault="00DE1BCC" w:rsidP="00CD3C48">
      <w:pPr>
        <w:pStyle w:val="ListParagraph"/>
        <w:numPr>
          <w:ilvl w:val="0"/>
          <w:numId w:val="36"/>
        </w:numPr>
        <w:rPr>
          <w:sz w:val="22"/>
          <w:szCs w:val="22"/>
        </w:rPr>
      </w:pPr>
      <w:r>
        <w:rPr>
          <w:sz w:val="22"/>
          <w:szCs w:val="22"/>
        </w:rPr>
        <w:t>a</w:t>
      </w:r>
      <w:r w:rsidR="00CD3C48" w:rsidRPr="00CD3C48">
        <w:rPr>
          <w:sz w:val="22"/>
          <w:szCs w:val="22"/>
        </w:rPr>
        <w:t>ddressing environmental implications and potential for securing environmental gains.</w:t>
      </w:r>
    </w:p>
    <w:p w:rsidR="00CD3C48" w:rsidRDefault="00DE1BCC" w:rsidP="00CD3C48">
      <w:pPr>
        <w:pStyle w:val="ListParagraph"/>
        <w:numPr>
          <w:ilvl w:val="0"/>
          <w:numId w:val="36"/>
        </w:numPr>
        <w:contextualSpacing w:val="0"/>
        <w:rPr>
          <w:sz w:val="22"/>
          <w:szCs w:val="22"/>
        </w:rPr>
      </w:pPr>
      <w:r>
        <w:rPr>
          <w:sz w:val="22"/>
          <w:szCs w:val="22"/>
        </w:rPr>
        <w:t>a</w:t>
      </w:r>
      <w:r w:rsidR="00CD3C48" w:rsidRPr="00CD3C48">
        <w:rPr>
          <w:sz w:val="22"/>
          <w:szCs w:val="22"/>
        </w:rPr>
        <w:t>ddressing minerals needs</w:t>
      </w:r>
    </w:p>
    <w:p w:rsidR="00A56931" w:rsidRPr="00D27BE5" w:rsidRDefault="00A56931" w:rsidP="00A56931">
      <w:pPr>
        <w:pStyle w:val="ListParagraph"/>
        <w:ind w:left="1440"/>
        <w:contextualSpacing w:val="0"/>
        <w:rPr>
          <w:sz w:val="22"/>
          <w:szCs w:val="22"/>
        </w:rPr>
      </w:pPr>
    </w:p>
    <w:p w:rsidR="00BD2D11" w:rsidRDefault="00FE2919" w:rsidP="00A027C9">
      <w:pPr>
        <w:pStyle w:val="ListParagraph"/>
        <w:numPr>
          <w:ilvl w:val="0"/>
          <w:numId w:val="49"/>
        </w:numPr>
        <w:spacing w:before="120" w:after="120"/>
        <w:rPr>
          <w:rFonts w:eastAsia="Times New Roman"/>
          <w:bCs/>
          <w:iCs/>
          <w:sz w:val="22"/>
          <w:szCs w:val="22"/>
          <w:lang w:eastAsia="en-GB"/>
        </w:rPr>
      </w:pPr>
      <w:r w:rsidRPr="00FE5E2D">
        <w:rPr>
          <w:rFonts w:eastAsia="Times New Roman"/>
          <w:bCs/>
          <w:iCs/>
          <w:sz w:val="22"/>
          <w:szCs w:val="22"/>
          <w:lang w:eastAsia="en-GB"/>
        </w:rPr>
        <w:t xml:space="preserve">The </w:t>
      </w:r>
      <w:r w:rsidR="00785144" w:rsidRPr="00FE5E2D">
        <w:rPr>
          <w:rFonts w:eastAsia="Times New Roman"/>
          <w:bCs/>
          <w:iCs/>
          <w:sz w:val="22"/>
          <w:szCs w:val="22"/>
          <w:lang w:eastAsia="en-GB"/>
        </w:rPr>
        <w:t>JSP</w:t>
      </w:r>
      <w:r w:rsidRPr="00FE5E2D">
        <w:rPr>
          <w:rFonts w:eastAsia="Times New Roman"/>
          <w:bCs/>
          <w:iCs/>
          <w:sz w:val="22"/>
          <w:szCs w:val="22"/>
          <w:lang w:eastAsia="en-GB"/>
        </w:rPr>
        <w:t xml:space="preserve"> is </w:t>
      </w:r>
      <w:r w:rsidR="00BD2D11" w:rsidRPr="00FE5E2D">
        <w:rPr>
          <w:rFonts w:eastAsia="Times New Roman"/>
          <w:bCs/>
          <w:iCs/>
          <w:sz w:val="22"/>
          <w:szCs w:val="22"/>
          <w:lang w:eastAsia="en-GB"/>
        </w:rPr>
        <w:t xml:space="preserve">intended to be </w:t>
      </w:r>
      <w:r w:rsidRPr="00FE5E2D">
        <w:rPr>
          <w:rFonts w:eastAsia="Times New Roman"/>
          <w:bCs/>
          <w:iCs/>
          <w:sz w:val="22"/>
          <w:szCs w:val="22"/>
          <w:lang w:eastAsia="en-GB"/>
        </w:rPr>
        <w:t>a strategic plan for Oxfordshire</w:t>
      </w:r>
      <w:r w:rsidR="00BD2D11" w:rsidRPr="00FE5E2D">
        <w:rPr>
          <w:rFonts w:eastAsia="Times New Roman"/>
          <w:bCs/>
          <w:iCs/>
          <w:sz w:val="22"/>
          <w:szCs w:val="22"/>
          <w:lang w:eastAsia="en-GB"/>
        </w:rPr>
        <w:t>,</w:t>
      </w:r>
      <w:r w:rsidRPr="00FE5E2D">
        <w:rPr>
          <w:rFonts w:eastAsia="Times New Roman"/>
          <w:bCs/>
          <w:iCs/>
          <w:sz w:val="22"/>
          <w:szCs w:val="22"/>
          <w:lang w:eastAsia="en-GB"/>
        </w:rPr>
        <w:t xml:space="preserve"> concerned with </w:t>
      </w:r>
      <w:r w:rsidR="00B70E20">
        <w:rPr>
          <w:rFonts w:eastAsia="Times New Roman"/>
          <w:bCs/>
          <w:iCs/>
          <w:sz w:val="22"/>
          <w:szCs w:val="22"/>
          <w:lang w:eastAsia="en-GB"/>
        </w:rPr>
        <w:t xml:space="preserve">long-term </w:t>
      </w:r>
      <w:r w:rsidRPr="00FE5E2D">
        <w:rPr>
          <w:rFonts w:eastAsia="Times New Roman"/>
          <w:bCs/>
          <w:iCs/>
          <w:sz w:val="22"/>
          <w:szCs w:val="22"/>
          <w:lang w:eastAsia="en-GB"/>
        </w:rPr>
        <w:t>strategic growth and infrastructure decisions</w:t>
      </w:r>
      <w:r w:rsidR="00B70E20">
        <w:rPr>
          <w:rFonts w:eastAsia="Times New Roman"/>
          <w:bCs/>
          <w:iCs/>
          <w:sz w:val="22"/>
          <w:szCs w:val="22"/>
          <w:lang w:eastAsia="en-GB"/>
        </w:rPr>
        <w:t>.</w:t>
      </w:r>
      <w:r w:rsidR="00785144" w:rsidRPr="00FE5E2D">
        <w:rPr>
          <w:rFonts w:eastAsia="Times New Roman"/>
          <w:bCs/>
          <w:iCs/>
          <w:sz w:val="22"/>
          <w:szCs w:val="22"/>
          <w:lang w:eastAsia="en-GB"/>
        </w:rPr>
        <w:t xml:space="preserve"> </w:t>
      </w:r>
      <w:r w:rsidR="00BD2D11" w:rsidRPr="00FE5E2D">
        <w:rPr>
          <w:rFonts w:eastAsia="Times New Roman"/>
          <w:bCs/>
          <w:iCs/>
          <w:sz w:val="22"/>
          <w:szCs w:val="22"/>
          <w:lang w:eastAsia="en-GB"/>
        </w:rPr>
        <w:t>It will do this by firstly building on the curr</w:t>
      </w:r>
      <w:r w:rsidR="00064B62">
        <w:rPr>
          <w:rFonts w:eastAsia="Times New Roman"/>
          <w:bCs/>
          <w:iCs/>
          <w:sz w:val="22"/>
          <w:szCs w:val="22"/>
          <w:lang w:eastAsia="en-GB"/>
        </w:rPr>
        <w:t>ent planned growth within each local p</w:t>
      </w:r>
      <w:r w:rsidR="00BD2D11" w:rsidRPr="00FE5E2D">
        <w:rPr>
          <w:rFonts w:eastAsia="Times New Roman"/>
          <w:bCs/>
          <w:iCs/>
          <w:sz w:val="22"/>
          <w:szCs w:val="22"/>
          <w:lang w:eastAsia="en-GB"/>
        </w:rPr>
        <w:t>lan (</w:t>
      </w:r>
      <w:r w:rsidR="00A96C54">
        <w:rPr>
          <w:rFonts w:eastAsia="Times New Roman"/>
          <w:bCs/>
          <w:iCs/>
          <w:sz w:val="22"/>
          <w:szCs w:val="22"/>
          <w:lang w:eastAsia="en-GB"/>
        </w:rPr>
        <w:t xml:space="preserve">up to </w:t>
      </w:r>
      <w:r w:rsidR="00BD2D11" w:rsidRPr="00FE5E2D">
        <w:rPr>
          <w:rFonts w:eastAsia="Times New Roman"/>
          <w:bCs/>
          <w:iCs/>
          <w:sz w:val="22"/>
          <w:szCs w:val="22"/>
          <w:lang w:eastAsia="en-GB"/>
        </w:rPr>
        <w:t xml:space="preserve">2031/36) and secondly by developing a </w:t>
      </w:r>
      <w:r w:rsidR="00BB39E7" w:rsidRPr="00FE5E2D">
        <w:rPr>
          <w:rFonts w:eastAsia="Times New Roman"/>
          <w:bCs/>
          <w:iCs/>
          <w:sz w:val="22"/>
          <w:szCs w:val="22"/>
          <w:lang w:eastAsia="en-GB"/>
        </w:rPr>
        <w:t xml:space="preserve">set of </w:t>
      </w:r>
      <w:r w:rsidR="001A42B6">
        <w:rPr>
          <w:rFonts w:eastAsia="Times New Roman"/>
          <w:bCs/>
          <w:iCs/>
          <w:sz w:val="22"/>
          <w:szCs w:val="22"/>
          <w:lang w:eastAsia="en-GB"/>
        </w:rPr>
        <w:t xml:space="preserve">longer-term </w:t>
      </w:r>
      <w:r w:rsidR="00BD2D11" w:rsidRPr="00FE5E2D">
        <w:rPr>
          <w:rFonts w:eastAsia="Times New Roman"/>
          <w:bCs/>
          <w:iCs/>
          <w:sz w:val="22"/>
          <w:szCs w:val="22"/>
          <w:lang w:eastAsia="en-GB"/>
        </w:rPr>
        <w:t xml:space="preserve">strategic objectives and priorities </w:t>
      </w:r>
      <w:r w:rsidR="001D486F" w:rsidRPr="00FE5E2D">
        <w:rPr>
          <w:rFonts w:eastAsia="Times New Roman"/>
          <w:bCs/>
          <w:iCs/>
          <w:sz w:val="22"/>
          <w:szCs w:val="22"/>
          <w:lang w:eastAsia="en-GB"/>
        </w:rPr>
        <w:t xml:space="preserve">for the period </w:t>
      </w:r>
      <w:r w:rsidR="001D486F" w:rsidRPr="00870870">
        <w:rPr>
          <w:rFonts w:eastAsia="Times New Roman"/>
          <w:bCs/>
          <w:iCs/>
          <w:sz w:val="22"/>
          <w:szCs w:val="22"/>
          <w:lang w:eastAsia="en-GB"/>
        </w:rPr>
        <w:t xml:space="preserve">to </w:t>
      </w:r>
      <w:r w:rsidR="00BD2D11" w:rsidRPr="00870870">
        <w:rPr>
          <w:rFonts w:eastAsia="Times New Roman"/>
          <w:bCs/>
          <w:iCs/>
          <w:sz w:val="22"/>
          <w:szCs w:val="22"/>
          <w:lang w:eastAsia="en-GB"/>
        </w:rPr>
        <w:t>20</w:t>
      </w:r>
      <w:r w:rsidR="00B70E20" w:rsidRPr="00870870">
        <w:rPr>
          <w:rFonts w:eastAsia="Times New Roman"/>
          <w:bCs/>
          <w:iCs/>
          <w:sz w:val="22"/>
          <w:szCs w:val="22"/>
          <w:lang w:eastAsia="en-GB"/>
        </w:rPr>
        <w:t>50</w:t>
      </w:r>
      <w:r w:rsidR="00BD2D11" w:rsidRPr="00870870">
        <w:rPr>
          <w:rFonts w:eastAsia="Times New Roman"/>
          <w:bCs/>
          <w:iCs/>
          <w:sz w:val="22"/>
          <w:szCs w:val="22"/>
          <w:lang w:eastAsia="en-GB"/>
        </w:rPr>
        <w:t>.</w:t>
      </w:r>
    </w:p>
    <w:p w:rsidR="00A56931" w:rsidRPr="00FE5E2D" w:rsidRDefault="00A56931" w:rsidP="00A56931">
      <w:pPr>
        <w:pStyle w:val="ListParagraph"/>
        <w:spacing w:before="120" w:after="120"/>
        <w:rPr>
          <w:rFonts w:eastAsia="Times New Roman"/>
          <w:bCs/>
          <w:iCs/>
          <w:sz w:val="22"/>
          <w:szCs w:val="22"/>
          <w:lang w:eastAsia="en-GB"/>
        </w:rPr>
      </w:pPr>
    </w:p>
    <w:p w:rsidR="00A714FD" w:rsidRDefault="001B3BD8" w:rsidP="00A027C9">
      <w:pPr>
        <w:pStyle w:val="ListParagraph"/>
        <w:numPr>
          <w:ilvl w:val="0"/>
          <w:numId w:val="49"/>
        </w:numPr>
        <w:spacing w:before="120" w:after="120"/>
        <w:rPr>
          <w:rFonts w:eastAsia="Times New Roman"/>
          <w:bCs/>
          <w:iCs/>
          <w:sz w:val="22"/>
          <w:szCs w:val="22"/>
          <w:lang w:eastAsia="en-GB"/>
        </w:rPr>
      </w:pPr>
      <w:r w:rsidRPr="00FE5E2D">
        <w:rPr>
          <w:rFonts w:eastAsia="Times New Roman"/>
          <w:bCs/>
          <w:iCs/>
          <w:sz w:val="22"/>
          <w:szCs w:val="22"/>
          <w:lang w:eastAsia="en-GB"/>
        </w:rPr>
        <w:t>Plan preparation, whether it is statutory or non-statutory</w:t>
      </w:r>
      <w:r w:rsidR="00A96C54">
        <w:rPr>
          <w:rFonts w:eastAsia="Times New Roman"/>
          <w:bCs/>
          <w:iCs/>
          <w:sz w:val="22"/>
          <w:szCs w:val="22"/>
          <w:lang w:eastAsia="en-GB"/>
        </w:rPr>
        <w:t>,</w:t>
      </w:r>
      <w:r w:rsidRPr="00FE5E2D">
        <w:rPr>
          <w:rFonts w:eastAsia="Times New Roman"/>
          <w:bCs/>
          <w:iCs/>
          <w:sz w:val="22"/>
          <w:szCs w:val="22"/>
          <w:lang w:eastAsia="en-GB"/>
        </w:rPr>
        <w:t xml:space="preserve"> </w:t>
      </w:r>
      <w:r w:rsidR="00A96C54">
        <w:rPr>
          <w:rFonts w:eastAsia="Times New Roman"/>
          <w:bCs/>
          <w:iCs/>
          <w:sz w:val="22"/>
          <w:szCs w:val="22"/>
          <w:lang w:eastAsia="en-GB"/>
        </w:rPr>
        <w:t>needs to</w:t>
      </w:r>
      <w:r w:rsidR="00A96C54" w:rsidRPr="00FE5E2D">
        <w:rPr>
          <w:rFonts w:eastAsia="Times New Roman"/>
          <w:bCs/>
          <w:iCs/>
          <w:sz w:val="22"/>
          <w:szCs w:val="22"/>
          <w:lang w:eastAsia="en-GB"/>
        </w:rPr>
        <w:t xml:space="preserve"> </w:t>
      </w:r>
      <w:r w:rsidRPr="00FE5E2D">
        <w:rPr>
          <w:rFonts w:eastAsia="Times New Roman"/>
          <w:bCs/>
          <w:iCs/>
          <w:sz w:val="22"/>
          <w:szCs w:val="22"/>
          <w:lang w:eastAsia="en-GB"/>
        </w:rPr>
        <w:t>be based upon a robust evidence base.</w:t>
      </w:r>
      <w:r w:rsidR="00CD3C48" w:rsidRPr="00CD3C48">
        <w:rPr>
          <w:rFonts w:eastAsia="Times New Roman"/>
          <w:bCs/>
          <w:iCs/>
          <w:sz w:val="22"/>
          <w:szCs w:val="22"/>
          <w:lang w:eastAsia="en-GB"/>
        </w:rPr>
        <w:t xml:space="preserve"> </w:t>
      </w:r>
      <w:r w:rsidR="009E2559">
        <w:rPr>
          <w:rFonts w:eastAsia="Times New Roman"/>
          <w:bCs/>
          <w:iCs/>
          <w:sz w:val="22"/>
          <w:szCs w:val="22"/>
          <w:lang w:eastAsia="en-GB"/>
        </w:rPr>
        <w:t>Proposals for t</w:t>
      </w:r>
      <w:r w:rsidR="00B62C16" w:rsidRPr="00FE5E2D">
        <w:rPr>
          <w:rFonts w:eastAsia="Times New Roman"/>
          <w:bCs/>
          <w:iCs/>
          <w:sz w:val="22"/>
          <w:szCs w:val="22"/>
          <w:lang w:eastAsia="en-GB"/>
        </w:rPr>
        <w:t>he earlier part of the plan</w:t>
      </w:r>
      <w:r w:rsidR="009E2559">
        <w:rPr>
          <w:rFonts w:eastAsia="Times New Roman"/>
          <w:bCs/>
          <w:iCs/>
          <w:sz w:val="22"/>
          <w:szCs w:val="22"/>
          <w:lang w:eastAsia="en-GB"/>
        </w:rPr>
        <w:t xml:space="preserve"> period</w:t>
      </w:r>
      <w:r w:rsidR="00B62C16" w:rsidRPr="00FE5E2D">
        <w:rPr>
          <w:rFonts w:eastAsia="Times New Roman"/>
          <w:bCs/>
          <w:iCs/>
          <w:sz w:val="22"/>
          <w:szCs w:val="22"/>
          <w:lang w:eastAsia="en-GB"/>
        </w:rPr>
        <w:t xml:space="preserve"> </w:t>
      </w:r>
      <w:r w:rsidR="009E2559">
        <w:rPr>
          <w:rFonts w:eastAsia="Times New Roman"/>
          <w:bCs/>
          <w:iCs/>
          <w:sz w:val="22"/>
          <w:szCs w:val="22"/>
          <w:lang w:eastAsia="en-GB"/>
        </w:rPr>
        <w:t>are</w:t>
      </w:r>
      <w:r w:rsidR="00B62C16" w:rsidRPr="00FE5E2D">
        <w:rPr>
          <w:rFonts w:eastAsia="Times New Roman"/>
          <w:bCs/>
          <w:iCs/>
          <w:sz w:val="22"/>
          <w:szCs w:val="22"/>
          <w:lang w:eastAsia="en-GB"/>
        </w:rPr>
        <w:t xml:space="preserve"> likely to be more deta</w:t>
      </w:r>
      <w:r w:rsidR="008908D8">
        <w:rPr>
          <w:rFonts w:eastAsia="Times New Roman"/>
          <w:bCs/>
          <w:iCs/>
          <w:sz w:val="22"/>
          <w:szCs w:val="22"/>
          <w:lang w:eastAsia="en-GB"/>
        </w:rPr>
        <w:t>iled</w:t>
      </w:r>
      <w:r w:rsidR="00B62C16" w:rsidRPr="00FE5E2D">
        <w:rPr>
          <w:rFonts w:eastAsia="Times New Roman"/>
          <w:bCs/>
          <w:iCs/>
          <w:sz w:val="22"/>
          <w:szCs w:val="22"/>
          <w:lang w:eastAsia="en-GB"/>
        </w:rPr>
        <w:t>, whilst further into the future towards the end of the plan</w:t>
      </w:r>
      <w:r w:rsidR="009E2559">
        <w:rPr>
          <w:rFonts w:eastAsia="Times New Roman"/>
          <w:bCs/>
          <w:iCs/>
          <w:sz w:val="22"/>
          <w:szCs w:val="22"/>
          <w:lang w:eastAsia="en-GB"/>
        </w:rPr>
        <w:t xml:space="preserve"> period (2050)</w:t>
      </w:r>
      <w:r w:rsidR="00B62C16" w:rsidRPr="00FE5E2D">
        <w:rPr>
          <w:rFonts w:eastAsia="Times New Roman"/>
          <w:bCs/>
          <w:iCs/>
          <w:sz w:val="22"/>
          <w:szCs w:val="22"/>
          <w:lang w:eastAsia="en-GB"/>
        </w:rPr>
        <w:t xml:space="preserve"> the assumptions and evidence behind the plan will</w:t>
      </w:r>
      <w:r w:rsidR="00A714FD">
        <w:rPr>
          <w:rFonts w:eastAsia="Times New Roman"/>
          <w:bCs/>
          <w:iCs/>
          <w:sz w:val="22"/>
          <w:szCs w:val="22"/>
          <w:lang w:eastAsia="en-GB"/>
        </w:rPr>
        <w:t>,</w:t>
      </w:r>
      <w:r w:rsidR="00B62C16" w:rsidRPr="00FE5E2D">
        <w:rPr>
          <w:rFonts w:eastAsia="Times New Roman"/>
          <w:bCs/>
          <w:iCs/>
          <w:sz w:val="22"/>
          <w:szCs w:val="22"/>
          <w:lang w:eastAsia="en-GB"/>
        </w:rPr>
        <w:t xml:space="preserve"> of necessity</w:t>
      </w:r>
      <w:r w:rsidR="00A714FD">
        <w:rPr>
          <w:rFonts w:eastAsia="Times New Roman"/>
          <w:bCs/>
          <w:iCs/>
          <w:sz w:val="22"/>
          <w:szCs w:val="22"/>
          <w:lang w:eastAsia="en-GB"/>
        </w:rPr>
        <w:t>, be more generalised.</w:t>
      </w:r>
    </w:p>
    <w:p w:rsidR="00A714FD" w:rsidRDefault="00A714FD" w:rsidP="00A714FD">
      <w:pPr>
        <w:pStyle w:val="ListParagraph"/>
        <w:spacing w:before="120" w:after="120"/>
        <w:ind w:left="360"/>
        <w:rPr>
          <w:rFonts w:eastAsia="Times New Roman"/>
          <w:bCs/>
          <w:iCs/>
          <w:sz w:val="22"/>
          <w:szCs w:val="22"/>
          <w:lang w:eastAsia="en-GB"/>
        </w:rPr>
      </w:pPr>
    </w:p>
    <w:p w:rsidR="001B3BD8" w:rsidRPr="002D5D71" w:rsidRDefault="00A714FD" w:rsidP="00A027C9">
      <w:pPr>
        <w:pStyle w:val="ListParagraph"/>
        <w:numPr>
          <w:ilvl w:val="0"/>
          <w:numId w:val="49"/>
        </w:numPr>
        <w:spacing w:before="120" w:after="120"/>
        <w:rPr>
          <w:rFonts w:eastAsia="Times New Roman"/>
          <w:bCs/>
          <w:iCs/>
          <w:sz w:val="22"/>
          <w:szCs w:val="22"/>
          <w:lang w:eastAsia="en-GB"/>
        </w:rPr>
      </w:pPr>
      <w:r>
        <w:rPr>
          <w:rFonts w:eastAsia="Times New Roman"/>
          <w:bCs/>
          <w:iCs/>
          <w:sz w:val="22"/>
          <w:szCs w:val="22"/>
          <w:lang w:eastAsia="en-GB"/>
        </w:rPr>
        <w:t>E</w:t>
      </w:r>
      <w:r w:rsidR="00B70E20">
        <w:rPr>
          <w:rFonts w:eastAsia="Times New Roman"/>
          <w:bCs/>
          <w:iCs/>
          <w:sz w:val="22"/>
          <w:szCs w:val="22"/>
          <w:lang w:eastAsia="en-GB"/>
        </w:rPr>
        <w:t xml:space="preserve">merging </w:t>
      </w:r>
      <w:r w:rsidR="005865FC" w:rsidRPr="005865FC">
        <w:rPr>
          <w:rFonts w:eastAsia="Times New Roman"/>
          <w:bCs/>
          <w:iCs/>
          <w:sz w:val="22"/>
          <w:szCs w:val="22"/>
          <w:lang w:eastAsia="en-GB"/>
        </w:rPr>
        <w:t>government guidance</w:t>
      </w:r>
      <w:r w:rsidR="00157CFB">
        <w:rPr>
          <w:rFonts w:eastAsia="Times New Roman"/>
          <w:bCs/>
          <w:iCs/>
          <w:sz w:val="22"/>
          <w:szCs w:val="22"/>
          <w:lang w:eastAsia="en-GB"/>
        </w:rPr>
        <w:t xml:space="preserve"> (as proposed in the recent Housing White Paper</w:t>
      </w:r>
      <w:r w:rsidR="00FE1D4A">
        <w:rPr>
          <w:rFonts w:eastAsia="Times New Roman"/>
          <w:bCs/>
          <w:iCs/>
          <w:sz w:val="22"/>
          <w:szCs w:val="22"/>
          <w:lang w:eastAsia="en-GB"/>
        </w:rPr>
        <w:t xml:space="preserve"> and OAN consultation</w:t>
      </w:r>
      <w:r w:rsidR="00157CFB">
        <w:rPr>
          <w:rFonts w:eastAsia="Times New Roman"/>
          <w:bCs/>
          <w:iCs/>
          <w:sz w:val="22"/>
          <w:szCs w:val="22"/>
          <w:lang w:eastAsia="en-GB"/>
        </w:rPr>
        <w:t>)</w:t>
      </w:r>
      <w:r>
        <w:rPr>
          <w:rFonts w:eastAsia="Times New Roman"/>
          <w:bCs/>
          <w:iCs/>
          <w:sz w:val="22"/>
          <w:szCs w:val="22"/>
          <w:lang w:eastAsia="en-GB"/>
        </w:rPr>
        <w:t xml:space="preserve"> would require a statutory plan to be reviewed every 5 years</w:t>
      </w:r>
      <w:r w:rsidRPr="002D5D71">
        <w:rPr>
          <w:rFonts w:eastAsia="Times New Roman"/>
          <w:bCs/>
          <w:iCs/>
          <w:sz w:val="22"/>
          <w:szCs w:val="22"/>
          <w:lang w:eastAsia="en-GB"/>
        </w:rPr>
        <w:t>.  As part of the current negotiations with CLG, we have asked for a 10 year freedom for the review period if the decision was taken to make this JSP a statutory plan.</w:t>
      </w:r>
    </w:p>
    <w:p w:rsidR="00A56931" w:rsidRPr="00A56931" w:rsidRDefault="00A56931" w:rsidP="00A56931">
      <w:pPr>
        <w:pStyle w:val="ListParagraph"/>
        <w:rPr>
          <w:rFonts w:eastAsia="Times New Roman"/>
          <w:bCs/>
          <w:iCs/>
          <w:sz w:val="22"/>
          <w:szCs w:val="22"/>
          <w:lang w:eastAsia="en-GB"/>
        </w:rPr>
      </w:pPr>
    </w:p>
    <w:p w:rsidR="008555C7" w:rsidRDefault="00790583" w:rsidP="00A027C9">
      <w:pPr>
        <w:pStyle w:val="ListParagraph"/>
        <w:numPr>
          <w:ilvl w:val="0"/>
          <w:numId w:val="49"/>
        </w:numPr>
        <w:spacing w:before="120" w:after="120"/>
        <w:rPr>
          <w:rFonts w:eastAsia="Times New Roman"/>
          <w:bCs/>
          <w:iCs/>
          <w:sz w:val="22"/>
          <w:szCs w:val="22"/>
          <w:lang w:eastAsia="en-GB"/>
        </w:rPr>
      </w:pPr>
      <w:r>
        <w:rPr>
          <w:rFonts w:eastAsia="Times New Roman"/>
          <w:bCs/>
          <w:iCs/>
          <w:sz w:val="22"/>
          <w:szCs w:val="22"/>
          <w:lang w:eastAsia="en-GB"/>
        </w:rPr>
        <w:t>Whilst t</w:t>
      </w:r>
      <w:r w:rsidR="001D486F" w:rsidRPr="00FE5E2D">
        <w:rPr>
          <w:rFonts w:eastAsia="Times New Roman"/>
          <w:bCs/>
          <w:iCs/>
          <w:sz w:val="22"/>
          <w:szCs w:val="22"/>
          <w:lang w:eastAsia="en-GB"/>
        </w:rPr>
        <w:t xml:space="preserve">he </w:t>
      </w:r>
      <w:r w:rsidR="004A4D89" w:rsidRPr="00FE5E2D">
        <w:rPr>
          <w:rFonts w:eastAsia="Times New Roman"/>
          <w:bCs/>
          <w:iCs/>
          <w:sz w:val="22"/>
          <w:szCs w:val="22"/>
          <w:lang w:eastAsia="en-GB"/>
        </w:rPr>
        <w:t xml:space="preserve">JSP </w:t>
      </w:r>
      <w:r w:rsidR="001D486F" w:rsidRPr="00FE5E2D">
        <w:rPr>
          <w:rFonts w:eastAsia="Times New Roman"/>
          <w:bCs/>
          <w:iCs/>
          <w:sz w:val="22"/>
          <w:szCs w:val="22"/>
          <w:lang w:eastAsia="en-GB"/>
        </w:rPr>
        <w:t xml:space="preserve">will provide the strategic </w:t>
      </w:r>
      <w:r w:rsidR="00645FF0" w:rsidRPr="00FE5E2D">
        <w:rPr>
          <w:rFonts w:eastAsia="Times New Roman"/>
          <w:bCs/>
          <w:iCs/>
          <w:sz w:val="22"/>
          <w:szCs w:val="22"/>
          <w:lang w:eastAsia="en-GB"/>
        </w:rPr>
        <w:t>framework</w:t>
      </w:r>
      <w:r w:rsidR="00645FF0">
        <w:rPr>
          <w:rFonts w:eastAsia="Times New Roman"/>
          <w:bCs/>
          <w:iCs/>
          <w:sz w:val="22"/>
          <w:szCs w:val="22"/>
          <w:lang w:eastAsia="en-GB"/>
        </w:rPr>
        <w:t>, it</w:t>
      </w:r>
      <w:r w:rsidR="00D00F8A">
        <w:rPr>
          <w:rFonts w:eastAsia="Times New Roman"/>
          <w:bCs/>
          <w:iCs/>
          <w:sz w:val="22"/>
          <w:szCs w:val="22"/>
          <w:lang w:eastAsia="en-GB"/>
        </w:rPr>
        <w:t xml:space="preserve"> will not replace local plans</w:t>
      </w:r>
      <w:r w:rsidR="008555C7" w:rsidRPr="00FE5E2D">
        <w:rPr>
          <w:rFonts w:eastAsia="Times New Roman"/>
          <w:bCs/>
          <w:iCs/>
          <w:sz w:val="22"/>
          <w:szCs w:val="22"/>
          <w:lang w:eastAsia="en-GB"/>
        </w:rPr>
        <w:t>.</w:t>
      </w:r>
      <w:r w:rsidR="00157D9D" w:rsidRPr="00157D9D">
        <w:t xml:space="preserve"> </w:t>
      </w:r>
      <w:r w:rsidR="00157D9D" w:rsidRPr="00157D9D">
        <w:rPr>
          <w:rFonts w:eastAsia="Times New Roman"/>
          <w:bCs/>
          <w:iCs/>
          <w:sz w:val="22"/>
          <w:szCs w:val="22"/>
          <w:lang w:eastAsia="en-GB"/>
        </w:rPr>
        <w:t>If the JSP was to become a statutory plan it would in effect operate as Part 1 of future local plans, setting out a high level long term strategic plan for sustainable development in Oxfordshire to 2050. More detail would then flow from local plans produced by each council</w:t>
      </w:r>
      <w:r w:rsidR="001B3BD8" w:rsidRPr="00FE5E2D">
        <w:rPr>
          <w:rFonts w:eastAsia="Times New Roman"/>
          <w:bCs/>
          <w:iCs/>
          <w:sz w:val="22"/>
          <w:szCs w:val="22"/>
          <w:lang w:eastAsia="en-GB"/>
        </w:rPr>
        <w:t xml:space="preserve"> </w:t>
      </w:r>
      <w:r w:rsidR="008555C7" w:rsidRPr="00FE5E2D">
        <w:rPr>
          <w:rFonts w:eastAsia="Times New Roman"/>
          <w:bCs/>
          <w:iCs/>
          <w:sz w:val="22"/>
          <w:szCs w:val="22"/>
          <w:lang w:eastAsia="en-GB"/>
        </w:rPr>
        <w:t xml:space="preserve">This coherent, strategic approach </w:t>
      </w:r>
      <w:r w:rsidR="000826C7">
        <w:rPr>
          <w:rFonts w:eastAsia="Times New Roman"/>
          <w:bCs/>
          <w:iCs/>
          <w:sz w:val="22"/>
          <w:szCs w:val="22"/>
          <w:lang w:eastAsia="en-GB"/>
        </w:rPr>
        <w:t xml:space="preserve">offered by the development of the JSP </w:t>
      </w:r>
      <w:r w:rsidR="008555C7" w:rsidRPr="00FE5E2D">
        <w:rPr>
          <w:rFonts w:eastAsia="Times New Roman"/>
          <w:bCs/>
          <w:iCs/>
          <w:sz w:val="22"/>
          <w:szCs w:val="22"/>
          <w:lang w:eastAsia="en-GB"/>
        </w:rPr>
        <w:t xml:space="preserve">will provide each authority </w:t>
      </w:r>
      <w:r w:rsidR="000826C7">
        <w:rPr>
          <w:rFonts w:eastAsia="Times New Roman"/>
          <w:bCs/>
          <w:iCs/>
          <w:sz w:val="22"/>
          <w:szCs w:val="22"/>
          <w:lang w:eastAsia="en-GB"/>
        </w:rPr>
        <w:t xml:space="preserve">with </w:t>
      </w:r>
      <w:r w:rsidR="008555C7" w:rsidRPr="00FE5E2D">
        <w:rPr>
          <w:rFonts w:eastAsia="Times New Roman"/>
          <w:bCs/>
          <w:iCs/>
          <w:sz w:val="22"/>
          <w:szCs w:val="22"/>
          <w:lang w:eastAsia="en-GB"/>
        </w:rPr>
        <w:t>the opportunity to have an informed countywide growth assessme</w:t>
      </w:r>
      <w:r w:rsidR="00064B62">
        <w:rPr>
          <w:rFonts w:eastAsia="Times New Roman"/>
          <w:bCs/>
          <w:iCs/>
          <w:sz w:val="22"/>
          <w:szCs w:val="22"/>
          <w:lang w:eastAsia="en-GB"/>
        </w:rPr>
        <w:t>nt underpinning its local p</w:t>
      </w:r>
      <w:r w:rsidR="008555C7" w:rsidRPr="00FE5E2D">
        <w:rPr>
          <w:rFonts w:eastAsia="Times New Roman"/>
          <w:bCs/>
          <w:iCs/>
          <w:sz w:val="22"/>
          <w:szCs w:val="22"/>
          <w:lang w:eastAsia="en-GB"/>
        </w:rPr>
        <w:t>lan</w:t>
      </w:r>
      <w:r w:rsidR="00157CFB">
        <w:rPr>
          <w:rFonts w:eastAsia="Times New Roman"/>
          <w:bCs/>
          <w:iCs/>
          <w:sz w:val="22"/>
          <w:szCs w:val="22"/>
          <w:lang w:eastAsia="en-GB"/>
        </w:rPr>
        <w:t xml:space="preserve"> and acting as a ‘material consideration’ for plan development</w:t>
      </w:r>
      <w:r w:rsidR="008555C7" w:rsidRPr="00FE5E2D">
        <w:rPr>
          <w:rFonts w:eastAsia="Times New Roman"/>
          <w:bCs/>
          <w:iCs/>
          <w:sz w:val="22"/>
          <w:szCs w:val="22"/>
          <w:lang w:eastAsia="en-GB"/>
        </w:rPr>
        <w:t>.</w:t>
      </w:r>
      <w:r w:rsidR="00157CFB">
        <w:rPr>
          <w:rFonts w:eastAsia="Times New Roman"/>
          <w:bCs/>
          <w:iCs/>
          <w:sz w:val="22"/>
          <w:szCs w:val="22"/>
          <w:lang w:eastAsia="en-GB"/>
        </w:rPr>
        <w:t xml:space="preserve"> Equally, the JSP will be informed by the approach to local</w:t>
      </w:r>
      <w:r w:rsidR="00064B62">
        <w:rPr>
          <w:rFonts w:eastAsia="Times New Roman"/>
          <w:bCs/>
          <w:iCs/>
          <w:sz w:val="22"/>
          <w:szCs w:val="22"/>
          <w:lang w:eastAsia="en-GB"/>
        </w:rPr>
        <w:t xml:space="preserve"> growth set out in the adopted local p</w:t>
      </w:r>
      <w:r w:rsidR="00157CFB">
        <w:rPr>
          <w:rFonts w:eastAsia="Times New Roman"/>
          <w:bCs/>
          <w:iCs/>
          <w:sz w:val="22"/>
          <w:szCs w:val="22"/>
          <w:lang w:eastAsia="en-GB"/>
        </w:rPr>
        <w:t>lans.</w:t>
      </w:r>
    </w:p>
    <w:p w:rsidR="00A56931" w:rsidRPr="00A56931" w:rsidRDefault="00A56931" w:rsidP="00A56931">
      <w:pPr>
        <w:pStyle w:val="ListParagraph"/>
        <w:rPr>
          <w:rFonts w:eastAsia="Times New Roman"/>
          <w:bCs/>
          <w:iCs/>
          <w:sz w:val="22"/>
          <w:szCs w:val="22"/>
          <w:lang w:eastAsia="en-GB"/>
        </w:rPr>
      </w:pPr>
    </w:p>
    <w:p w:rsidR="00A56931" w:rsidRDefault="00790583" w:rsidP="00A027C9">
      <w:pPr>
        <w:pStyle w:val="ListParagraph"/>
        <w:numPr>
          <w:ilvl w:val="0"/>
          <w:numId w:val="49"/>
        </w:numPr>
        <w:spacing w:before="120" w:after="120"/>
        <w:rPr>
          <w:rFonts w:eastAsia="Times New Roman"/>
          <w:bCs/>
          <w:iCs/>
          <w:sz w:val="22"/>
          <w:szCs w:val="22"/>
          <w:lang w:eastAsia="en-GB"/>
        </w:rPr>
      </w:pPr>
      <w:r>
        <w:rPr>
          <w:rFonts w:eastAsia="Times New Roman"/>
          <w:bCs/>
          <w:iCs/>
          <w:sz w:val="22"/>
          <w:szCs w:val="22"/>
          <w:lang w:eastAsia="en-GB"/>
        </w:rPr>
        <w:t xml:space="preserve">A </w:t>
      </w:r>
      <w:r w:rsidR="00A80DA0">
        <w:rPr>
          <w:rFonts w:eastAsia="Times New Roman"/>
          <w:bCs/>
          <w:iCs/>
          <w:sz w:val="22"/>
          <w:szCs w:val="22"/>
          <w:lang w:eastAsia="en-GB"/>
        </w:rPr>
        <w:t>potential</w:t>
      </w:r>
      <w:r>
        <w:rPr>
          <w:rFonts w:eastAsia="Times New Roman"/>
          <w:bCs/>
          <w:iCs/>
          <w:sz w:val="22"/>
          <w:szCs w:val="22"/>
          <w:lang w:eastAsia="en-GB"/>
        </w:rPr>
        <w:t xml:space="preserve"> element of the business plan is the development of a suite of common policies</w:t>
      </w:r>
      <w:r w:rsidR="005B55E2">
        <w:rPr>
          <w:rFonts w:eastAsia="Times New Roman"/>
          <w:bCs/>
          <w:iCs/>
          <w:sz w:val="22"/>
          <w:szCs w:val="22"/>
          <w:lang w:eastAsia="en-GB"/>
        </w:rPr>
        <w:t xml:space="preserve"> based on a common evidence base</w:t>
      </w:r>
      <w:r>
        <w:rPr>
          <w:rFonts w:eastAsia="Times New Roman"/>
          <w:bCs/>
          <w:iCs/>
          <w:sz w:val="22"/>
          <w:szCs w:val="22"/>
          <w:lang w:eastAsia="en-GB"/>
        </w:rPr>
        <w:t xml:space="preserve">. </w:t>
      </w:r>
      <w:r w:rsidR="008E1440">
        <w:rPr>
          <w:rFonts w:eastAsia="Times New Roman"/>
          <w:bCs/>
          <w:iCs/>
          <w:sz w:val="22"/>
          <w:szCs w:val="22"/>
          <w:lang w:eastAsia="en-GB"/>
        </w:rPr>
        <w:t xml:space="preserve">If the </w:t>
      </w:r>
      <w:r w:rsidR="001B3BD8" w:rsidRPr="00FE5E2D">
        <w:rPr>
          <w:rFonts w:eastAsia="Times New Roman"/>
          <w:bCs/>
          <w:iCs/>
          <w:sz w:val="22"/>
          <w:szCs w:val="22"/>
          <w:lang w:eastAsia="en-GB"/>
        </w:rPr>
        <w:t xml:space="preserve">JSP were </w:t>
      </w:r>
      <w:r w:rsidR="00E224E0" w:rsidRPr="00FE5E2D">
        <w:rPr>
          <w:rFonts w:eastAsia="Times New Roman"/>
          <w:bCs/>
          <w:iCs/>
          <w:sz w:val="22"/>
          <w:szCs w:val="22"/>
          <w:lang w:eastAsia="en-GB"/>
        </w:rPr>
        <w:t xml:space="preserve">to evolve into </w:t>
      </w:r>
      <w:r w:rsidR="001B3BD8" w:rsidRPr="00FE5E2D">
        <w:rPr>
          <w:rFonts w:eastAsia="Times New Roman"/>
          <w:bCs/>
          <w:iCs/>
          <w:sz w:val="22"/>
          <w:szCs w:val="22"/>
          <w:lang w:eastAsia="en-GB"/>
        </w:rPr>
        <w:t xml:space="preserve">a statutory </w:t>
      </w:r>
      <w:r w:rsidRPr="00FE5E2D">
        <w:rPr>
          <w:rFonts w:eastAsia="Times New Roman"/>
          <w:bCs/>
          <w:iCs/>
          <w:sz w:val="22"/>
          <w:szCs w:val="22"/>
          <w:lang w:eastAsia="en-GB"/>
        </w:rPr>
        <w:t>plan,</w:t>
      </w:r>
      <w:r>
        <w:rPr>
          <w:rFonts w:eastAsia="Times New Roman"/>
          <w:bCs/>
          <w:iCs/>
          <w:sz w:val="22"/>
          <w:szCs w:val="22"/>
          <w:lang w:eastAsia="en-GB"/>
        </w:rPr>
        <w:t xml:space="preserve"> then</w:t>
      </w:r>
      <w:r w:rsidR="001D486F" w:rsidRPr="00FE5E2D">
        <w:rPr>
          <w:rFonts w:eastAsia="Times New Roman"/>
          <w:bCs/>
          <w:iCs/>
          <w:sz w:val="22"/>
          <w:szCs w:val="22"/>
          <w:lang w:eastAsia="en-GB"/>
        </w:rPr>
        <w:t xml:space="preserve"> a common set of policies could </w:t>
      </w:r>
      <w:r w:rsidR="00B70E20">
        <w:rPr>
          <w:rFonts w:eastAsia="Times New Roman"/>
          <w:bCs/>
          <w:iCs/>
          <w:sz w:val="22"/>
          <w:szCs w:val="22"/>
          <w:lang w:eastAsia="en-GB"/>
        </w:rPr>
        <w:t xml:space="preserve">help </w:t>
      </w:r>
      <w:r w:rsidR="001D486F" w:rsidRPr="00FE5E2D">
        <w:rPr>
          <w:rFonts w:eastAsia="Times New Roman"/>
          <w:bCs/>
          <w:iCs/>
          <w:sz w:val="22"/>
          <w:szCs w:val="22"/>
          <w:lang w:eastAsia="en-GB"/>
        </w:rPr>
        <w:t xml:space="preserve">serve the wider area for </w:t>
      </w:r>
      <w:r>
        <w:rPr>
          <w:rFonts w:eastAsia="Times New Roman"/>
          <w:bCs/>
          <w:iCs/>
          <w:sz w:val="22"/>
          <w:szCs w:val="22"/>
          <w:lang w:eastAsia="en-GB"/>
        </w:rPr>
        <w:t>development management purposes.</w:t>
      </w:r>
      <w:r w:rsidR="001D486F" w:rsidRPr="00FE5E2D">
        <w:rPr>
          <w:rFonts w:eastAsia="Times New Roman"/>
          <w:bCs/>
          <w:iCs/>
          <w:sz w:val="22"/>
          <w:szCs w:val="22"/>
          <w:lang w:eastAsia="en-GB"/>
        </w:rPr>
        <w:t xml:space="preserve"> </w:t>
      </w:r>
      <w:r>
        <w:rPr>
          <w:rFonts w:eastAsia="Times New Roman"/>
          <w:bCs/>
          <w:iCs/>
          <w:sz w:val="22"/>
          <w:szCs w:val="22"/>
          <w:lang w:eastAsia="en-GB"/>
        </w:rPr>
        <w:t>However, i</w:t>
      </w:r>
      <w:r w:rsidR="00E224E0" w:rsidRPr="00FE5E2D">
        <w:rPr>
          <w:rFonts w:eastAsia="Times New Roman"/>
          <w:bCs/>
          <w:iCs/>
          <w:sz w:val="22"/>
          <w:szCs w:val="22"/>
          <w:lang w:eastAsia="en-GB"/>
        </w:rPr>
        <w:t xml:space="preserve">f the plan remains non-statutory then these policies </w:t>
      </w:r>
      <w:r>
        <w:rPr>
          <w:rFonts w:eastAsia="Times New Roman"/>
          <w:bCs/>
          <w:iCs/>
          <w:sz w:val="22"/>
          <w:szCs w:val="22"/>
          <w:lang w:eastAsia="en-GB"/>
        </w:rPr>
        <w:t xml:space="preserve">will help to provide a common framework for </w:t>
      </w:r>
      <w:r w:rsidR="00E224E0" w:rsidRPr="00FE5E2D">
        <w:rPr>
          <w:rFonts w:eastAsia="Times New Roman"/>
          <w:bCs/>
          <w:iCs/>
          <w:sz w:val="22"/>
          <w:szCs w:val="22"/>
          <w:lang w:eastAsia="en-GB"/>
        </w:rPr>
        <w:t>individual local plans</w:t>
      </w:r>
      <w:r>
        <w:rPr>
          <w:rFonts w:eastAsia="Times New Roman"/>
          <w:bCs/>
          <w:iCs/>
          <w:sz w:val="22"/>
          <w:szCs w:val="22"/>
          <w:lang w:eastAsia="en-GB"/>
        </w:rPr>
        <w:t>.</w:t>
      </w:r>
    </w:p>
    <w:p w:rsidR="00A56931" w:rsidRPr="00A56931" w:rsidRDefault="00A56931" w:rsidP="00A56931">
      <w:pPr>
        <w:pStyle w:val="ListParagraph"/>
        <w:rPr>
          <w:rFonts w:eastAsia="Times New Roman"/>
          <w:bCs/>
          <w:iCs/>
          <w:sz w:val="22"/>
          <w:szCs w:val="22"/>
          <w:lang w:eastAsia="en-GB"/>
        </w:rPr>
      </w:pPr>
    </w:p>
    <w:p w:rsidR="00CC2BAF" w:rsidRDefault="00CD3C48" w:rsidP="00CC2BAF">
      <w:pPr>
        <w:pStyle w:val="ListParagraph"/>
        <w:numPr>
          <w:ilvl w:val="0"/>
          <w:numId w:val="49"/>
        </w:numPr>
        <w:spacing w:before="120" w:after="120"/>
        <w:rPr>
          <w:rFonts w:eastAsia="Times New Roman"/>
          <w:bCs/>
          <w:iCs/>
          <w:sz w:val="22"/>
          <w:szCs w:val="22"/>
          <w:lang w:eastAsia="en-GB"/>
        </w:rPr>
      </w:pPr>
      <w:r w:rsidRPr="00CD3C48">
        <w:rPr>
          <w:rFonts w:eastAsia="Times New Roman"/>
          <w:bCs/>
          <w:iCs/>
          <w:sz w:val="22"/>
          <w:szCs w:val="22"/>
          <w:lang w:eastAsia="en-GB"/>
        </w:rPr>
        <w:t>It is intended that the JSP will be in place to f</w:t>
      </w:r>
      <w:r w:rsidR="00064B62">
        <w:rPr>
          <w:rFonts w:eastAsia="Times New Roman"/>
          <w:bCs/>
          <w:iCs/>
          <w:sz w:val="22"/>
          <w:szCs w:val="22"/>
          <w:lang w:eastAsia="en-GB"/>
        </w:rPr>
        <w:t>rame the context for the first local p</w:t>
      </w:r>
      <w:r w:rsidRPr="00CD3C48">
        <w:rPr>
          <w:rFonts w:eastAsia="Times New Roman"/>
          <w:bCs/>
          <w:iCs/>
          <w:sz w:val="22"/>
          <w:szCs w:val="22"/>
          <w:lang w:eastAsia="en-GB"/>
        </w:rPr>
        <w:t>lans that will approa</w:t>
      </w:r>
      <w:r>
        <w:rPr>
          <w:rFonts w:eastAsia="Times New Roman"/>
          <w:bCs/>
          <w:iCs/>
          <w:sz w:val="22"/>
          <w:szCs w:val="22"/>
          <w:lang w:eastAsia="en-GB"/>
        </w:rPr>
        <w:t xml:space="preserve">ch their </w:t>
      </w:r>
      <w:r w:rsidR="00DE1BCC">
        <w:rPr>
          <w:rFonts w:eastAsia="Times New Roman"/>
          <w:bCs/>
          <w:iCs/>
          <w:sz w:val="22"/>
          <w:szCs w:val="22"/>
          <w:lang w:eastAsia="en-GB"/>
        </w:rPr>
        <w:t>five-year</w:t>
      </w:r>
      <w:r>
        <w:rPr>
          <w:rFonts w:eastAsia="Times New Roman"/>
          <w:bCs/>
          <w:iCs/>
          <w:sz w:val="22"/>
          <w:szCs w:val="22"/>
          <w:lang w:eastAsia="en-GB"/>
        </w:rPr>
        <w:t xml:space="preserve"> review </w:t>
      </w:r>
      <w:r w:rsidR="00DE1BCC">
        <w:rPr>
          <w:rFonts w:eastAsia="Times New Roman"/>
          <w:bCs/>
          <w:iCs/>
          <w:sz w:val="22"/>
          <w:szCs w:val="22"/>
          <w:lang w:eastAsia="en-GB"/>
        </w:rPr>
        <w:t>point;</w:t>
      </w:r>
      <w:r w:rsidRPr="00CD3C48">
        <w:rPr>
          <w:rFonts w:eastAsia="Times New Roman"/>
          <w:bCs/>
          <w:iCs/>
          <w:sz w:val="22"/>
          <w:szCs w:val="22"/>
          <w:lang w:eastAsia="en-GB"/>
        </w:rPr>
        <w:t xml:space="preserve"> this is expected </w:t>
      </w:r>
      <w:r w:rsidR="00DE1BCC" w:rsidRPr="00CD3C48">
        <w:rPr>
          <w:rFonts w:eastAsia="Times New Roman"/>
          <w:bCs/>
          <w:iCs/>
          <w:sz w:val="22"/>
          <w:szCs w:val="22"/>
          <w:lang w:eastAsia="en-GB"/>
        </w:rPr>
        <w:t>to be</w:t>
      </w:r>
      <w:r w:rsidRPr="00CD3C48">
        <w:rPr>
          <w:rFonts w:eastAsia="Times New Roman"/>
          <w:bCs/>
          <w:iCs/>
          <w:sz w:val="22"/>
          <w:szCs w:val="22"/>
          <w:lang w:eastAsia="en-GB"/>
        </w:rPr>
        <w:t xml:space="preserve"> the Cherwel</w:t>
      </w:r>
      <w:r w:rsidR="00064B62">
        <w:rPr>
          <w:rFonts w:eastAsia="Times New Roman"/>
          <w:bCs/>
          <w:iCs/>
          <w:sz w:val="22"/>
          <w:szCs w:val="22"/>
          <w:lang w:eastAsia="en-GB"/>
        </w:rPr>
        <w:t>l local p</w:t>
      </w:r>
      <w:r>
        <w:rPr>
          <w:rFonts w:eastAsia="Times New Roman"/>
          <w:bCs/>
          <w:iCs/>
          <w:sz w:val="22"/>
          <w:szCs w:val="22"/>
          <w:lang w:eastAsia="en-GB"/>
        </w:rPr>
        <w:t>lan in 2020.</w:t>
      </w:r>
      <w:r w:rsidR="00612435">
        <w:rPr>
          <w:rFonts w:eastAsia="Times New Roman"/>
          <w:bCs/>
          <w:iCs/>
          <w:sz w:val="22"/>
          <w:szCs w:val="22"/>
          <w:lang w:eastAsia="en-GB"/>
        </w:rPr>
        <w:t xml:space="preserve"> </w:t>
      </w:r>
      <w:r>
        <w:rPr>
          <w:rFonts w:eastAsia="Times New Roman"/>
          <w:bCs/>
          <w:iCs/>
          <w:sz w:val="22"/>
          <w:szCs w:val="22"/>
          <w:lang w:eastAsia="en-GB"/>
        </w:rPr>
        <w:t xml:space="preserve"> It</w:t>
      </w:r>
      <w:r w:rsidRPr="00CD3C48">
        <w:rPr>
          <w:rFonts w:eastAsia="Times New Roman"/>
          <w:bCs/>
          <w:iCs/>
          <w:sz w:val="22"/>
          <w:szCs w:val="22"/>
          <w:lang w:eastAsia="en-GB"/>
        </w:rPr>
        <w:t xml:space="preserve"> needs to be appreciated </w:t>
      </w:r>
      <w:r>
        <w:rPr>
          <w:rFonts w:eastAsia="Times New Roman"/>
          <w:bCs/>
          <w:iCs/>
          <w:sz w:val="22"/>
          <w:szCs w:val="22"/>
          <w:lang w:eastAsia="en-GB"/>
        </w:rPr>
        <w:t xml:space="preserve">however </w:t>
      </w:r>
      <w:r w:rsidR="00064B62">
        <w:rPr>
          <w:rFonts w:eastAsia="Times New Roman"/>
          <w:bCs/>
          <w:iCs/>
          <w:sz w:val="22"/>
          <w:szCs w:val="22"/>
          <w:lang w:eastAsia="en-GB"/>
        </w:rPr>
        <w:t>that all District Plans (local plans and neighbourhood plans) and county p</w:t>
      </w:r>
      <w:r w:rsidRPr="00CD3C48">
        <w:rPr>
          <w:rFonts w:eastAsia="Times New Roman"/>
          <w:bCs/>
          <w:iCs/>
          <w:sz w:val="22"/>
          <w:szCs w:val="22"/>
          <w:lang w:eastAsia="en-GB"/>
        </w:rPr>
        <w:t>lan</w:t>
      </w:r>
      <w:r w:rsidR="002C504E">
        <w:rPr>
          <w:rFonts w:eastAsia="Times New Roman"/>
          <w:bCs/>
          <w:iCs/>
          <w:sz w:val="22"/>
          <w:szCs w:val="22"/>
          <w:lang w:eastAsia="en-GB"/>
        </w:rPr>
        <w:t>s (m</w:t>
      </w:r>
      <w:r w:rsidRPr="00CD3C48">
        <w:rPr>
          <w:rFonts w:eastAsia="Times New Roman"/>
          <w:bCs/>
          <w:iCs/>
          <w:sz w:val="22"/>
          <w:szCs w:val="22"/>
          <w:lang w:eastAsia="en-GB"/>
        </w:rPr>
        <w:t>inerals</w:t>
      </w:r>
      <w:r w:rsidR="002C504E">
        <w:rPr>
          <w:rFonts w:eastAsia="Times New Roman"/>
          <w:bCs/>
          <w:iCs/>
          <w:sz w:val="22"/>
          <w:szCs w:val="22"/>
          <w:lang w:eastAsia="en-GB"/>
        </w:rPr>
        <w:t xml:space="preserve"> and waste</w:t>
      </w:r>
      <w:r w:rsidRPr="00CD3C48">
        <w:rPr>
          <w:rFonts w:eastAsia="Times New Roman"/>
          <w:bCs/>
          <w:iCs/>
          <w:sz w:val="22"/>
          <w:szCs w:val="22"/>
          <w:lang w:eastAsia="en-GB"/>
        </w:rPr>
        <w:t xml:space="preserve">) will be shaped by the </w:t>
      </w:r>
      <w:r w:rsidR="002C504E">
        <w:rPr>
          <w:rFonts w:eastAsia="Times New Roman"/>
          <w:bCs/>
          <w:iCs/>
          <w:sz w:val="22"/>
          <w:szCs w:val="22"/>
          <w:lang w:eastAsia="en-GB"/>
        </w:rPr>
        <w:t>JSP from the outse</w:t>
      </w:r>
      <w:r w:rsidR="005F1E56">
        <w:rPr>
          <w:rFonts w:eastAsia="Times New Roman"/>
          <w:bCs/>
          <w:iCs/>
          <w:sz w:val="22"/>
          <w:szCs w:val="22"/>
          <w:lang w:eastAsia="en-GB"/>
        </w:rPr>
        <w:t>t</w:t>
      </w:r>
      <w:r w:rsidRPr="00CC2BAF">
        <w:rPr>
          <w:rFonts w:eastAsia="Times New Roman"/>
          <w:bCs/>
          <w:iCs/>
          <w:sz w:val="22"/>
          <w:szCs w:val="22"/>
          <w:lang w:eastAsia="en-GB"/>
        </w:rPr>
        <w:t>.</w:t>
      </w:r>
    </w:p>
    <w:p w:rsidR="00CC2BAF" w:rsidRPr="00CC2BAF" w:rsidRDefault="00CC2BAF" w:rsidP="00CC2BAF">
      <w:pPr>
        <w:pStyle w:val="ListParagraph"/>
        <w:rPr>
          <w:rFonts w:eastAsia="Times New Roman"/>
          <w:bCs/>
          <w:iCs/>
          <w:sz w:val="22"/>
          <w:szCs w:val="22"/>
          <w:lang w:eastAsia="en-GB"/>
        </w:rPr>
      </w:pPr>
    </w:p>
    <w:p w:rsidR="00FB3FB9" w:rsidRPr="00CC2BAF" w:rsidRDefault="00157D9D" w:rsidP="00CC2BAF">
      <w:pPr>
        <w:pStyle w:val="ListParagraph"/>
        <w:numPr>
          <w:ilvl w:val="0"/>
          <w:numId w:val="49"/>
        </w:numPr>
        <w:spacing w:before="120" w:after="120"/>
        <w:rPr>
          <w:rFonts w:eastAsia="Times New Roman"/>
          <w:bCs/>
          <w:iCs/>
          <w:sz w:val="22"/>
          <w:szCs w:val="22"/>
          <w:lang w:eastAsia="en-GB"/>
        </w:rPr>
      </w:pPr>
      <w:r w:rsidRPr="00CC2BAF">
        <w:rPr>
          <w:rFonts w:eastAsia="Times New Roman"/>
          <w:bCs/>
          <w:iCs/>
          <w:sz w:val="22"/>
          <w:szCs w:val="22"/>
          <w:lang w:eastAsia="en-GB"/>
        </w:rPr>
        <w:t>I</w:t>
      </w:r>
      <w:r w:rsidR="00A56931" w:rsidRPr="00CC2BAF">
        <w:rPr>
          <w:sz w:val="22"/>
          <w:szCs w:val="22"/>
          <w:lang w:eastAsia="en-GB"/>
        </w:rPr>
        <w:t>ncluded in the project at an early stage is the development of a Statement of Common Ground</w:t>
      </w:r>
      <w:r w:rsidR="00CD3C48" w:rsidRPr="00CC2BAF">
        <w:rPr>
          <w:sz w:val="22"/>
          <w:szCs w:val="22"/>
          <w:lang w:eastAsia="en-GB"/>
        </w:rPr>
        <w:t xml:space="preserve"> (SoCG)</w:t>
      </w:r>
      <w:r w:rsidR="002C504E">
        <w:rPr>
          <w:sz w:val="22"/>
          <w:szCs w:val="22"/>
          <w:lang w:eastAsia="en-GB"/>
        </w:rPr>
        <w:t xml:space="preserve"> </w:t>
      </w:r>
      <w:r w:rsidR="00157CFB" w:rsidRPr="00CC2BAF">
        <w:rPr>
          <w:sz w:val="22"/>
          <w:szCs w:val="22"/>
          <w:lang w:eastAsia="en-GB"/>
        </w:rPr>
        <w:t>as proposed in the ‘Planning fo</w:t>
      </w:r>
      <w:r w:rsidR="00CD3C48" w:rsidRPr="00CC2BAF">
        <w:rPr>
          <w:sz w:val="22"/>
          <w:szCs w:val="22"/>
          <w:lang w:eastAsia="en-GB"/>
        </w:rPr>
        <w:t xml:space="preserve">r the Right Homes’ </w:t>
      </w:r>
      <w:r w:rsidR="00E1530B">
        <w:rPr>
          <w:sz w:val="22"/>
          <w:szCs w:val="22"/>
          <w:lang w:eastAsia="en-GB"/>
        </w:rPr>
        <w:t xml:space="preserve">DCLG </w:t>
      </w:r>
      <w:proofErr w:type="gramStart"/>
      <w:r w:rsidR="00CD3C48" w:rsidRPr="00CC2BAF">
        <w:rPr>
          <w:sz w:val="22"/>
          <w:szCs w:val="22"/>
          <w:lang w:eastAsia="en-GB"/>
        </w:rPr>
        <w:t>consultation.</w:t>
      </w:r>
      <w:proofErr w:type="gramEnd"/>
      <w:r w:rsidR="00ED44B9">
        <w:rPr>
          <w:sz w:val="22"/>
          <w:szCs w:val="22"/>
          <w:lang w:eastAsia="en-GB"/>
        </w:rPr>
        <w:t xml:space="preserve"> </w:t>
      </w:r>
      <w:r w:rsidR="00CD3C48" w:rsidRPr="00CC2BAF">
        <w:rPr>
          <w:sz w:val="22"/>
          <w:szCs w:val="22"/>
          <w:lang w:eastAsia="en-GB"/>
        </w:rPr>
        <w:t xml:space="preserve"> This consultation document sets</w:t>
      </w:r>
      <w:r w:rsidR="00157CFB" w:rsidRPr="00CC2BAF">
        <w:rPr>
          <w:sz w:val="22"/>
          <w:szCs w:val="22"/>
          <w:lang w:eastAsia="en-GB"/>
        </w:rPr>
        <w:t xml:space="preserve"> out the scope</w:t>
      </w:r>
      <w:r w:rsidR="002C504E">
        <w:rPr>
          <w:sz w:val="22"/>
          <w:szCs w:val="22"/>
          <w:lang w:eastAsia="en-GB"/>
        </w:rPr>
        <w:t xml:space="preserve"> of these new </w:t>
      </w:r>
      <w:r w:rsidR="00E1530B">
        <w:rPr>
          <w:sz w:val="22"/>
          <w:szCs w:val="22"/>
          <w:lang w:eastAsia="en-GB"/>
        </w:rPr>
        <w:t>statements</w:t>
      </w:r>
      <w:r w:rsidR="00157CFB" w:rsidRPr="00CC2BAF">
        <w:rPr>
          <w:sz w:val="22"/>
          <w:szCs w:val="22"/>
          <w:lang w:eastAsia="en-GB"/>
        </w:rPr>
        <w:t xml:space="preserve"> to strengthen the Duty to Cooperate</w:t>
      </w:r>
      <w:r w:rsidR="00CD3C48" w:rsidRPr="00CC2BAF">
        <w:rPr>
          <w:sz w:val="22"/>
          <w:szCs w:val="22"/>
          <w:lang w:eastAsia="en-GB"/>
        </w:rPr>
        <w:t xml:space="preserve">, including the headline housing need figures for each district </w:t>
      </w:r>
      <w:r w:rsidR="00157CFB" w:rsidRPr="00CC2BAF">
        <w:rPr>
          <w:sz w:val="22"/>
          <w:szCs w:val="22"/>
          <w:lang w:eastAsia="en-GB"/>
        </w:rPr>
        <w:t xml:space="preserve">and to establish a mechanism to address </w:t>
      </w:r>
      <w:r w:rsidR="00CD3C48" w:rsidRPr="00CC2BAF">
        <w:rPr>
          <w:sz w:val="22"/>
          <w:szCs w:val="22"/>
          <w:lang w:eastAsia="en-GB"/>
        </w:rPr>
        <w:t xml:space="preserve">and identified </w:t>
      </w:r>
      <w:r w:rsidR="00157CFB" w:rsidRPr="00CC2BAF">
        <w:rPr>
          <w:sz w:val="22"/>
          <w:szCs w:val="22"/>
          <w:lang w:eastAsia="en-GB"/>
        </w:rPr>
        <w:t>unmet housing need</w:t>
      </w:r>
      <w:r w:rsidR="007B35C4" w:rsidRPr="00CC2BAF">
        <w:rPr>
          <w:sz w:val="22"/>
          <w:szCs w:val="22"/>
          <w:lang w:eastAsia="en-GB"/>
        </w:rPr>
        <w:t xml:space="preserve">. </w:t>
      </w:r>
      <w:r w:rsidR="00A56931" w:rsidRPr="00CC2BAF">
        <w:rPr>
          <w:sz w:val="22"/>
          <w:szCs w:val="22"/>
          <w:lang w:eastAsia="en-GB"/>
        </w:rPr>
        <w:t>Th</w:t>
      </w:r>
      <w:r w:rsidR="00CD3C48" w:rsidRPr="00CC2BAF">
        <w:rPr>
          <w:sz w:val="22"/>
          <w:szCs w:val="22"/>
          <w:lang w:eastAsia="en-GB"/>
        </w:rPr>
        <w:t>e</w:t>
      </w:r>
      <w:r w:rsidR="00A56931" w:rsidRPr="00CC2BAF">
        <w:rPr>
          <w:sz w:val="22"/>
          <w:szCs w:val="22"/>
          <w:lang w:eastAsia="en-GB"/>
        </w:rPr>
        <w:t xml:space="preserve"> </w:t>
      </w:r>
      <w:r w:rsidR="00CD3C48" w:rsidRPr="00CC2BAF">
        <w:rPr>
          <w:sz w:val="22"/>
          <w:szCs w:val="22"/>
          <w:lang w:eastAsia="en-GB"/>
        </w:rPr>
        <w:t xml:space="preserve">SoCG </w:t>
      </w:r>
      <w:r w:rsidR="00A56931" w:rsidRPr="00CC2BAF">
        <w:rPr>
          <w:sz w:val="22"/>
          <w:szCs w:val="22"/>
          <w:lang w:eastAsia="en-GB"/>
        </w:rPr>
        <w:t xml:space="preserve">will </w:t>
      </w:r>
      <w:r w:rsidR="00CD3C48" w:rsidRPr="00CC2BAF">
        <w:rPr>
          <w:sz w:val="22"/>
          <w:szCs w:val="22"/>
          <w:lang w:eastAsia="en-GB"/>
        </w:rPr>
        <w:t xml:space="preserve">also </w:t>
      </w:r>
      <w:r w:rsidR="006E30E2" w:rsidRPr="00CC2BAF">
        <w:rPr>
          <w:sz w:val="22"/>
          <w:szCs w:val="22"/>
          <w:lang w:eastAsia="en-GB"/>
        </w:rPr>
        <w:t xml:space="preserve">set out the relevant strategic and cross-boundary matters for Oxfordshire </w:t>
      </w:r>
      <w:r w:rsidR="00D277F6" w:rsidRPr="00CC2BAF">
        <w:rPr>
          <w:sz w:val="22"/>
          <w:szCs w:val="22"/>
          <w:lang w:eastAsia="en-GB"/>
        </w:rPr>
        <w:t>and could</w:t>
      </w:r>
      <w:r w:rsidR="00FB3FB9" w:rsidRPr="00CC2BAF">
        <w:rPr>
          <w:sz w:val="22"/>
          <w:szCs w:val="22"/>
          <w:lang w:eastAsia="en-GB"/>
        </w:rPr>
        <w:t>,</w:t>
      </w:r>
      <w:r w:rsidR="007B35C4" w:rsidRPr="00CC2BAF">
        <w:rPr>
          <w:sz w:val="22"/>
          <w:szCs w:val="22"/>
          <w:lang w:eastAsia="en-GB"/>
        </w:rPr>
        <w:t xml:space="preserve"> </w:t>
      </w:r>
      <w:r w:rsidR="00CD3C48" w:rsidRPr="00CC2BAF">
        <w:rPr>
          <w:sz w:val="22"/>
          <w:szCs w:val="22"/>
          <w:lang w:eastAsia="en-GB"/>
        </w:rPr>
        <w:t>for example</w:t>
      </w:r>
      <w:r w:rsidR="00FB3FB9" w:rsidRPr="00CC2BAF">
        <w:rPr>
          <w:sz w:val="22"/>
          <w:szCs w:val="22"/>
          <w:lang w:eastAsia="en-GB"/>
        </w:rPr>
        <w:t>,</w:t>
      </w:r>
      <w:r w:rsidR="00CD3C48" w:rsidRPr="00CC2BAF">
        <w:rPr>
          <w:sz w:val="22"/>
          <w:szCs w:val="22"/>
          <w:lang w:eastAsia="en-GB"/>
        </w:rPr>
        <w:t xml:space="preserve"> </w:t>
      </w:r>
      <w:r w:rsidR="007B35C4" w:rsidRPr="00CC2BAF">
        <w:rPr>
          <w:sz w:val="22"/>
          <w:szCs w:val="22"/>
          <w:lang w:eastAsia="en-GB"/>
        </w:rPr>
        <w:t xml:space="preserve">include some </w:t>
      </w:r>
      <w:r w:rsidR="00D277F6" w:rsidRPr="00CC2BAF">
        <w:rPr>
          <w:sz w:val="22"/>
          <w:szCs w:val="22"/>
          <w:lang w:eastAsia="en-GB"/>
        </w:rPr>
        <w:t>high-level</w:t>
      </w:r>
      <w:r w:rsidR="007B35C4" w:rsidRPr="00CC2BAF">
        <w:rPr>
          <w:sz w:val="22"/>
          <w:szCs w:val="22"/>
          <w:lang w:eastAsia="en-GB"/>
        </w:rPr>
        <w:t xml:space="preserve"> sustainability </w:t>
      </w:r>
      <w:r w:rsidR="00BA0F8D" w:rsidRPr="00CC2BAF">
        <w:rPr>
          <w:sz w:val="22"/>
          <w:szCs w:val="22"/>
          <w:lang w:eastAsia="en-GB"/>
        </w:rPr>
        <w:t xml:space="preserve">and infrastructure </w:t>
      </w:r>
      <w:r w:rsidR="007B35C4" w:rsidRPr="00CC2BAF">
        <w:rPr>
          <w:sz w:val="22"/>
          <w:szCs w:val="22"/>
          <w:lang w:eastAsia="en-GB"/>
        </w:rPr>
        <w:t>matters</w:t>
      </w:r>
      <w:r w:rsidR="00157CFB" w:rsidRPr="00CC2BAF">
        <w:rPr>
          <w:sz w:val="22"/>
          <w:szCs w:val="22"/>
          <w:lang w:eastAsia="en-GB"/>
        </w:rPr>
        <w:t xml:space="preserve"> and be agreed by each Council.</w:t>
      </w:r>
    </w:p>
    <w:p w:rsidR="001A3E8B" w:rsidRPr="00FB3FB9" w:rsidRDefault="001A3E8B" w:rsidP="00FB3FB9">
      <w:pPr>
        <w:spacing w:before="120" w:after="120"/>
        <w:rPr>
          <w:rFonts w:eastAsia="Times New Roman"/>
          <w:b/>
          <w:bCs/>
          <w:iCs/>
          <w:sz w:val="22"/>
          <w:szCs w:val="22"/>
          <w:u w:val="single"/>
          <w:lang w:eastAsia="en-GB"/>
        </w:rPr>
      </w:pPr>
      <w:r w:rsidRPr="00FB3FB9">
        <w:rPr>
          <w:rFonts w:eastAsia="Times New Roman"/>
          <w:b/>
          <w:bCs/>
          <w:iCs/>
          <w:sz w:val="22"/>
          <w:szCs w:val="22"/>
          <w:u w:val="single"/>
          <w:lang w:eastAsia="en-GB"/>
        </w:rPr>
        <w:br w:type="page"/>
      </w:r>
    </w:p>
    <w:p w:rsidR="00A56564" w:rsidRPr="00177982" w:rsidRDefault="00A56564" w:rsidP="00FE5E2D">
      <w:pPr>
        <w:spacing w:before="120" w:after="120"/>
        <w:rPr>
          <w:rFonts w:eastAsia="Times New Roman"/>
          <w:b/>
          <w:bCs/>
          <w:iCs/>
          <w:u w:val="single"/>
          <w:lang w:eastAsia="en-GB"/>
        </w:rPr>
      </w:pPr>
      <w:r w:rsidRPr="00177982">
        <w:rPr>
          <w:rFonts w:eastAsia="Times New Roman"/>
          <w:b/>
          <w:bCs/>
          <w:iCs/>
          <w:u w:val="single"/>
          <w:lang w:eastAsia="en-GB"/>
        </w:rPr>
        <w:t>Programme / Project Milestones</w:t>
      </w:r>
    </w:p>
    <w:p w:rsidR="0088308D" w:rsidRDefault="0088308D" w:rsidP="0088308D">
      <w:pPr>
        <w:pStyle w:val="ListParagraph"/>
        <w:spacing w:before="120" w:after="120"/>
        <w:rPr>
          <w:rFonts w:eastAsia="Times New Roman"/>
          <w:bCs/>
          <w:iCs/>
          <w:sz w:val="22"/>
          <w:szCs w:val="22"/>
          <w:lang w:eastAsia="en-GB"/>
        </w:rPr>
      </w:pPr>
    </w:p>
    <w:p w:rsidR="00A56564" w:rsidRDefault="00A56564" w:rsidP="00A027C9">
      <w:pPr>
        <w:pStyle w:val="ListParagraph"/>
        <w:numPr>
          <w:ilvl w:val="0"/>
          <w:numId w:val="49"/>
        </w:numPr>
        <w:spacing w:before="120" w:after="120"/>
        <w:rPr>
          <w:rFonts w:eastAsia="Times New Roman"/>
          <w:bCs/>
          <w:iCs/>
          <w:sz w:val="22"/>
          <w:szCs w:val="22"/>
          <w:lang w:eastAsia="en-GB"/>
        </w:rPr>
      </w:pPr>
      <w:r w:rsidRPr="00FE5E2D">
        <w:rPr>
          <w:rFonts w:eastAsia="Times New Roman"/>
          <w:bCs/>
          <w:iCs/>
          <w:sz w:val="22"/>
          <w:szCs w:val="22"/>
          <w:lang w:eastAsia="en-GB"/>
        </w:rPr>
        <w:t xml:space="preserve">A detailed programme is set out in an attached </w:t>
      </w:r>
      <w:r w:rsidR="00800E8F" w:rsidRPr="00FE5E2D">
        <w:rPr>
          <w:rFonts w:eastAsia="Times New Roman"/>
          <w:bCs/>
          <w:iCs/>
          <w:sz w:val="22"/>
          <w:szCs w:val="22"/>
          <w:lang w:eastAsia="en-GB"/>
        </w:rPr>
        <w:t xml:space="preserve">detailed </w:t>
      </w:r>
      <w:r w:rsidRPr="00FE5E2D">
        <w:rPr>
          <w:rFonts w:eastAsia="Times New Roman"/>
          <w:bCs/>
          <w:iCs/>
          <w:sz w:val="22"/>
          <w:szCs w:val="22"/>
          <w:lang w:eastAsia="en-GB"/>
        </w:rPr>
        <w:t>Gantt chart.</w:t>
      </w:r>
      <w:r w:rsidR="00790766">
        <w:rPr>
          <w:rFonts w:eastAsia="Times New Roman"/>
          <w:bCs/>
          <w:iCs/>
          <w:sz w:val="22"/>
          <w:szCs w:val="22"/>
          <w:lang w:eastAsia="en-GB"/>
        </w:rPr>
        <w:t xml:space="preserve"> The key milestones however are set out in the table below.</w:t>
      </w:r>
    </w:p>
    <w:p w:rsidR="00790766" w:rsidRPr="00FE5E2D" w:rsidRDefault="00790766" w:rsidP="00790766">
      <w:pPr>
        <w:pStyle w:val="ListParagraph"/>
        <w:spacing w:before="120" w:after="120"/>
        <w:rPr>
          <w:rFonts w:eastAsia="Times New Roman"/>
          <w:bCs/>
          <w:iCs/>
          <w:sz w:val="22"/>
          <w:szCs w:val="22"/>
          <w:lang w:eastAsia="en-GB"/>
        </w:rPr>
      </w:pPr>
    </w:p>
    <w:tbl>
      <w:tblPr>
        <w:tblStyle w:val="TableGrid"/>
        <w:tblW w:w="0" w:type="auto"/>
        <w:tblLook w:val="04A0" w:firstRow="1" w:lastRow="0" w:firstColumn="1" w:lastColumn="0" w:noHBand="0" w:noVBand="1"/>
      </w:tblPr>
      <w:tblGrid>
        <w:gridCol w:w="3009"/>
        <w:gridCol w:w="3238"/>
        <w:gridCol w:w="2995"/>
      </w:tblGrid>
      <w:tr w:rsidR="00C04132" w:rsidTr="00FD57A3">
        <w:tc>
          <w:tcPr>
            <w:tcW w:w="3009" w:type="dxa"/>
            <w:shd w:val="clear" w:color="auto" w:fill="BFBFBF" w:themeFill="background1" w:themeFillShade="BF"/>
          </w:tcPr>
          <w:p w:rsidR="00C04132" w:rsidRPr="00B70E20" w:rsidRDefault="00C04132" w:rsidP="00FE5E2D">
            <w:pPr>
              <w:pStyle w:val="ListParagraph"/>
              <w:spacing w:before="120" w:after="120"/>
              <w:rPr>
                <w:rFonts w:eastAsia="Times New Roman"/>
                <w:b/>
                <w:bCs/>
                <w:iCs/>
                <w:sz w:val="22"/>
                <w:szCs w:val="22"/>
                <w:lang w:eastAsia="en-GB"/>
              </w:rPr>
            </w:pPr>
            <w:r w:rsidRPr="00B70E20">
              <w:rPr>
                <w:rFonts w:eastAsia="Times New Roman"/>
                <w:b/>
                <w:bCs/>
                <w:iCs/>
                <w:sz w:val="22"/>
                <w:szCs w:val="22"/>
                <w:lang w:eastAsia="en-GB"/>
              </w:rPr>
              <w:t>Milestone</w:t>
            </w:r>
          </w:p>
        </w:tc>
        <w:tc>
          <w:tcPr>
            <w:tcW w:w="3238" w:type="dxa"/>
            <w:shd w:val="clear" w:color="auto" w:fill="BFBFBF" w:themeFill="background1" w:themeFillShade="BF"/>
          </w:tcPr>
          <w:p w:rsidR="00C04132" w:rsidRPr="00EB000B" w:rsidRDefault="00C04132" w:rsidP="00FE5E2D">
            <w:pPr>
              <w:pStyle w:val="ListParagraph"/>
              <w:spacing w:before="120" w:after="120"/>
              <w:rPr>
                <w:rFonts w:eastAsia="Times New Roman"/>
                <w:b/>
                <w:bCs/>
                <w:iCs/>
                <w:sz w:val="22"/>
                <w:szCs w:val="22"/>
                <w:lang w:eastAsia="en-GB"/>
              </w:rPr>
            </w:pPr>
            <w:r w:rsidRPr="00EB000B">
              <w:rPr>
                <w:rFonts w:eastAsia="Times New Roman"/>
                <w:b/>
                <w:bCs/>
                <w:iCs/>
                <w:sz w:val="22"/>
                <w:szCs w:val="22"/>
                <w:lang w:eastAsia="en-GB"/>
              </w:rPr>
              <w:t>Detail</w:t>
            </w:r>
          </w:p>
        </w:tc>
        <w:tc>
          <w:tcPr>
            <w:tcW w:w="2995" w:type="dxa"/>
            <w:shd w:val="clear" w:color="auto" w:fill="BFBFBF" w:themeFill="background1" w:themeFillShade="BF"/>
          </w:tcPr>
          <w:p w:rsidR="00C04132" w:rsidRPr="00EB000B" w:rsidRDefault="00C04132" w:rsidP="00FE5E2D">
            <w:pPr>
              <w:pStyle w:val="ListParagraph"/>
              <w:spacing w:before="120" w:after="120"/>
              <w:rPr>
                <w:rFonts w:eastAsia="Times New Roman"/>
                <w:b/>
                <w:bCs/>
                <w:iCs/>
                <w:sz w:val="22"/>
                <w:szCs w:val="22"/>
                <w:lang w:eastAsia="en-GB"/>
              </w:rPr>
            </w:pPr>
            <w:r w:rsidRPr="00EB000B">
              <w:rPr>
                <w:rFonts w:eastAsia="Times New Roman"/>
                <w:b/>
                <w:bCs/>
                <w:iCs/>
                <w:sz w:val="22"/>
                <w:szCs w:val="22"/>
                <w:lang w:eastAsia="en-GB"/>
              </w:rPr>
              <w:t>Approximate timescale</w:t>
            </w:r>
          </w:p>
        </w:tc>
      </w:tr>
      <w:tr w:rsidR="00C04132" w:rsidTr="00FD57A3">
        <w:tc>
          <w:tcPr>
            <w:tcW w:w="3009" w:type="dxa"/>
          </w:tcPr>
          <w:p w:rsidR="00C04132" w:rsidRPr="00B70E20" w:rsidRDefault="00736AAE" w:rsidP="007F60E6">
            <w:pPr>
              <w:spacing w:before="120" w:after="120"/>
              <w:rPr>
                <w:rFonts w:eastAsia="Times New Roman"/>
                <w:bCs/>
                <w:iCs/>
                <w:sz w:val="20"/>
                <w:szCs w:val="20"/>
                <w:lang w:eastAsia="en-GB"/>
              </w:rPr>
            </w:pPr>
            <w:r>
              <w:rPr>
                <w:rFonts w:eastAsia="Times New Roman"/>
                <w:bCs/>
                <w:iCs/>
                <w:sz w:val="20"/>
                <w:szCs w:val="20"/>
                <w:lang w:eastAsia="en-GB"/>
              </w:rPr>
              <w:t>Endorsement</w:t>
            </w:r>
            <w:r w:rsidRPr="00B70E20">
              <w:rPr>
                <w:rFonts w:eastAsia="Times New Roman"/>
                <w:bCs/>
                <w:iCs/>
                <w:sz w:val="20"/>
                <w:szCs w:val="20"/>
                <w:lang w:eastAsia="en-GB"/>
              </w:rPr>
              <w:t xml:space="preserve"> </w:t>
            </w:r>
            <w:r w:rsidR="00C04132" w:rsidRPr="00B70E20">
              <w:rPr>
                <w:rFonts w:eastAsia="Times New Roman"/>
                <w:bCs/>
                <w:iCs/>
                <w:sz w:val="20"/>
                <w:szCs w:val="20"/>
                <w:lang w:eastAsia="en-GB"/>
              </w:rPr>
              <w:t>of business case</w:t>
            </w:r>
          </w:p>
        </w:tc>
        <w:tc>
          <w:tcPr>
            <w:tcW w:w="3238" w:type="dxa"/>
          </w:tcPr>
          <w:p w:rsidR="00C04132" w:rsidRPr="00EB000B" w:rsidRDefault="00C04132" w:rsidP="00736AAE">
            <w:pPr>
              <w:pStyle w:val="ListParagraph"/>
              <w:spacing w:before="120" w:after="120"/>
              <w:rPr>
                <w:rFonts w:eastAsia="Times New Roman"/>
                <w:bCs/>
                <w:iCs/>
                <w:sz w:val="20"/>
                <w:szCs w:val="20"/>
                <w:lang w:eastAsia="en-GB"/>
              </w:rPr>
            </w:pPr>
            <w:r w:rsidRPr="00EB000B">
              <w:rPr>
                <w:rFonts w:eastAsia="Times New Roman"/>
                <w:bCs/>
                <w:iCs/>
                <w:sz w:val="20"/>
                <w:szCs w:val="20"/>
                <w:lang w:eastAsia="en-GB"/>
              </w:rPr>
              <w:t xml:space="preserve">Business case to be </w:t>
            </w:r>
            <w:r w:rsidR="00736AAE">
              <w:rPr>
                <w:rFonts w:eastAsia="Times New Roman"/>
                <w:bCs/>
                <w:iCs/>
                <w:sz w:val="20"/>
                <w:szCs w:val="20"/>
                <w:lang w:eastAsia="en-GB"/>
              </w:rPr>
              <w:t>endorsed</w:t>
            </w:r>
            <w:r w:rsidR="00736AAE" w:rsidRPr="00EB000B">
              <w:rPr>
                <w:rFonts w:eastAsia="Times New Roman"/>
                <w:bCs/>
                <w:iCs/>
                <w:sz w:val="20"/>
                <w:szCs w:val="20"/>
                <w:lang w:eastAsia="en-GB"/>
              </w:rPr>
              <w:t xml:space="preserve"> </w:t>
            </w:r>
            <w:r w:rsidRPr="00EB000B">
              <w:rPr>
                <w:rFonts w:eastAsia="Times New Roman"/>
                <w:bCs/>
                <w:iCs/>
                <w:sz w:val="20"/>
                <w:szCs w:val="20"/>
                <w:lang w:eastAsia="en-GB"/>
              </w:rPr>
              <w:t>by Growth Board</w:t>
            </w:r>
          </w:p>
        </w:tc>
        <w:tc>
          <w:tcPr>
            <w:tcW w:w="2995" w:type="dxa"/>
          </w:tcPr>
          <w:p w:rsidR="00C04132" w:rsidRPr="00EB000B" w:rsidRDefault="00C04132" w:rsidP="00FE5E2D">
            <w:pPr>
              <w:pStyle w:val="ListParagraph"/>
              <w:spacing w:before="120" w:after="120"/>
              <w:rPr>
                <w:rFonts w:eastAsia="Times New Roman"/>
                <w:bCs/>
                <w:iCs/>
                <w:sz w:val="20"/>
                <w:szCs w:val="20"/>
                <w:lang w:eastAsia="en-GB"/>
              </w:rPr>
            </w:pPr>
          </w:p>
          <w:p w:rsidR="00C04132" w:rsidRPr="00B70E20" w:rsidRDefault="00FE5E2D" w:rsidP="00870870">
            <w:pPr>
              <w:spacing w:before="120" w:after="120"/>
              <w:ind w:left="360"/>
              <w:rPr>
                <w:rFonts w:eastAsia="Times New Roman"/>
                <w:bCs/>
                <w:iCs/>
                <w:sz w:val="20"/>
                <w:szCs w:val="20"/>
                <w:lang w:eastAsia="en-GB"/>
              </w:rPr>
            </w:pPr>
            <w:r w:rsidRPr="00EB000B">
              <w:rPr>
                <w:rFonts w:eastAsia="Times New Roman"/>
                <w:bCs/>
                <w:iCs/>
                <w:sz w:val="20"/>
                <w:szCs w:val="20"/>
                <w:lang w:eastAsia="en-GB"/>
              </w:rPr>
              <w:t xml:space="preserve">      </w:t>
            </w:r>
            <w:r w:rsidR="007B03D3">
              <w:rPr>
                <w:rFonts w:eastAsia="Times New Roman"/>
                <w:bCs/>
                <w:iCs/>
                <w:sz w:val="20"/>
                <w:szCs w:val="20"/>
                <w:lang w:eastAsia="en-GB"/>
              </w:rPr>
              <w:t xml:space="preserve">End </w:t>
            </w:r>
            <w:r w:rsidR="00C04132" w:rsidRPr="00EB000B">
              <w:rPr>
                <w:rFonts w:eastAsia="Times New Roman"/>
                <w:bCs/>
                <w:iCs/>
                <w:sz w:val="20"/>
                <w:szCs w:val="20"/>
                <w:lang w:eastAsia="en-GB"/>
              </w:rPr>
              <w:t>Oct 2017</w:t>
            </w:r>
            <w:r w:rsidRPr="00AB7FB9">
              <w:rPr>
                <w:rFonts w:eastAsia="Times New Roman"/>
                <w:bCs/>
                <w:iCs/>
                <w:sz w:val="20"/>
                <w:szCs w:val="20"/>
                <w:lang w:eastAsia="en-GB"/>
              </w:rPr>
              <w:t xml:space="preserve"> </w:t>
            </w:r>
          </w:p>
        </w:tc>
      </w:tr>
      <w:tr w:rsidR="00C04132" w:rsidTr="00FD57A3">
        <w:tc>
          <w:tcPr>
            <w:tcW w:w="3009" w:type="dxa"/>
          </w:tcPr>
          <w:p w:rsidR="00C04132" w:rsidRPr="00B70E20" w:rsidRDefault="00C04132" w:rsidP="007F60E6">
            <w:pPr>
              <w:spacing w:before="120" w:after="120"/>
              <w:rPr>
                <w:rFonts w:eastAsia="Times New Roman"/>
                <w:bCs/>
                <w:iCs/>
                <w:sz w:val="20"/>
                <w:szCs w:val="20"/>
                <w:lang w:eastAsia="en-GB"/>
              </w:rPr>
            </w:pPr>
            <w:r w:rsidRPr="00B70E20">
              <w:rPr>
                <w:rFonts w:eastAsia="Times New Roman"/>
                <w:bCs/>
                <w:iCs/>
                <w:sz w:val="20"/>
                <w:szCs w:val="20"/>
                <w:lang w:eastAsia="en-GB"/>
              </w:rPr>
              <w:t>Establishment of project governance systems</w:t>
            </w:r>
          </w:p>
        </w:tc>
        <w:tc>
          <w:tcPr>
            <w:tcW w:w="3238" w:type="dxa"/>
          </w:tcPr>
          <w:p w:rsidR="00C04132" w:rsidRPr="00EB000B" w:rsidRDefault="00B70E20" w:rsidP="00736AAE">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 xml:space="preserve">For </w:t>
            </w:r>
            <w:r w:rsidR="00736AAE">
              <w:rPr>
                <w:rFonts w:eastAsia="Times New Roman"/>
                <w:bCs/>
                <w:iCs/>
                <w:sz w:val="20"/>
                <w:szCs w:val="20"/>
                <w:lang w:eastAsia="en-GB"/>
              </w:rPr>
              <w:t>agreement</w:t>
            </w:r>
            <w:r w:rsidR="00736AAE" w:rsidRPr="00DF6146">
              <w:rPr>
                <w:rFonts w:eastAsia="Times New Roman"/>
                <w:bCs/>
                <w:iCs/>
                <w:sz w:val="20"/>
                <w:szCs w:val="20"/>
                <w:lang w:eastAsia="en-GB"/>
              </w:rPr>
              <w:t xml:space="preserve"> </w:t>
            </w:r>
            <w:r w:rsidRPr="00DF6146">
              <w:rPr>
                <w:rFonts w:eastAsia="Times New Roman"/>
                <w:bCs/>
                <w:iCs/>
                <w:sz w:val="20"/>
                <w:szCs w:val="20"/>
                <w:lang w:eastAsia="en-GB"/>
              </w:rPr>
              <w:t xml:space="preserve">by the </w:t>
            </w:r>
            <w:r w:rsidR="00736AAE">
              <w:rPr>
                <w:rFonts w:eastAsia="Times New Roman"/>
                <w:bCs/>
                <w:iCs/>
                <w:sz w:val="20"/>
                <w:szCs w:val="20"/>
                <w:lang w:eastAsia="en-GB"/>
              </w:rPr>
              <w:t>Chief Executives</w:t>
            </w:r>
          </w:p>
        </w:tc>
        <w:tc>
          <w:tcPr>
            <w:tcW w:w="2995" w:type="dxa"/>
          </w:tcPr>
          <w:p w:rsidR="001D6099" w:rsidRDefault="001D6099" w:rsidP="00FE5E2D">
            <w:pPr>
              <w:pStyle w:val="ListParagraph"/>
              <w:spacing w:before="120" w:after="120"/>
              <w:rPr>
                <w:rFonts w:eastAsia="Times New Roman"/>
                <w:bCs/>
                <w:iCs/>
                <w:sz w:val="20"/>
                <w:szCs w:val="20"/>
                <w:lang w:eastAsia="en-GB"/>
              </w:rPr>
            </w:pPr>
          </w:p>
          <w:p w:rsidR="00C04132" w:rsidRPr="00DF6146" w:rsidRDefault="00870870" w:rsidP="00870870">
            <w:pPr>
              <w:pStyle w:val="ListParagraph"/>
              <w:spacing w:before="120" w:after="120"/>
              <w:rPr>
                <w:rFonts w:eastAsia="Times New Roman"/>
                <w:bCs/>
                <w:iCs/>
                <w:sz w:val="20"/>
                <w:szCs w:val="20"/>
                <w:lang w:eastAsia="en-GB"/>
              </w:rPr>
            </w:pPr>
            <w:r>
              <w:rPr>
                <w:rFonts w:eastAsia="Times New Roman"/>
                <w:bCs/>
                <w:iCs/>
                <w:sz w:val="20"/>
                <w:szCs w:val="20"/>
                <w:lang w:eastAsia="en-GB"/>
              </w:rPr>
              <w:t>Nov</w:t>
            </w:r>
            <w:r w:rsidR="00C04132" w:rsidRPr="00DF6146">
              <w:rPr>
                <w:rFonts w:eastAsia="Times New Roman"/>
                <w:bCs/>
                <w:iCs/>
                <w:sz w:val="20"/>
                <w:szCs w:val="20"/>
                <w:lang w:eastAsia="en-GB"/>
              </w:rPr>
              <w:t xml:space="preserve"> 2017</w:t>
            </w:r>
          </w:p>
        </w:tc>
      </w:tr>
      <w:tr w:rsidR="00C04132" w:rsidTr="00FD57A3">
        <w:tc>
          <w:tcPr>
            <w:tcW w:w="3009" w:type="dxa"/>
          </w:tcPr>
          <w:p w:rsidR="00C04132" w:rsidRPr="00B70E20" w:rsidRDefault="00C04132" w:rsidP="007F60E6">
            <w:pPr>
              <w:spacing w:before="120" w:after="120"/>
              <w:rPr>
                <w:rFonts w:eastAsia="Times New Roman"/>
                <w:bCs/>
                <w:iCs/>
                <w:sz w:val="20"/>
                <w:szCs w:val="20"/>
                <w:lang w:eastAsia="en-GB"/>
              </w:rPr>
            </w:pPr>
            <w:r w:rsidRPr="00B70E20">
              <w:rPr>
                <w:rFonts w:eastAsia="Times New Roman"/>
                <w:bCs/>
                <w:iCs/>
                <w:sz w:val="20"/>
                <w:szCs w:val="20"/>
                <w:lang w:eastAsia="en-GB"/>
              </w:rPr>
              <w:t>Establishment of JSP Project Team,  project management and budget bids within councils</w:t>
            </w:r>
          </w:p>
        </w:tc>
        <w:tc>
          <w:tcPr>
            <w:tcW w:w="3238" w:type="dxa"/>
          </w:tcPr>
          <w:p w:rsidR="00C04132" w:rsidRPr="00DF6146" w:rsidRDefault="00C04132" w:rsidP="00736AAE">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Recruitment and establishment of team  operational by Dec 2017</w:t>
            </w:r>
          </w:p>
        </w:tc>
        <w:tc>
          <w:tcPr>
            <w:tcW w:w="2995" w:type="dxa"/>
          </w:tcPr>
          <w:p w:rsidR="00C04132" w:rsidRPr="00EB000B" w:rsidRDefault="00C04132" w:rsidP="00FE5E2D">
            <w:pPr>
              <w:pStyle w:val="ListParagraph"/>
              <w:spacing w:before="120" w:after="120"/>
              <w:rPr>
                <w:rFonts w:eastAsia="Times New Roman"/>
                <w:bCs/>
                <w:iCs/>
                <w:sz w:val="20"/>
                <w:szCs w:val="20"/>
                <w:lang w:eastAsia="en-GB"/>
              </w:rPr>
            </w:pPr>
            <w:r w:rsidRPr="00EB000B">
              <w:rPr>
                <w:rFonts w:eastAsia="Times New Roman"/>
                <w:bCs/>
                <w:iCs/>
                <w:sz w:val="20"/>
                <w:szCs w:val="20"/>
                <w:lang w:eastAsia="en-GB"/>
              </w:rPr>
              <w:t>Dec 2017</w:t>
            </w:r>
          </w:p>
        </w:tc>
      </w:tr>
      <w:tr w:rsidR="00C04132" w:rsidTr="00FD57A3">
        <w:tc>
          <w:tcPr>
            <w:tcW w:w="3009" w:type="dxa"/>
          </w:tcPr>
          <w:p w:rsidR="00C04132" w:rsidRPr="00B70E20" w:rsidRDefault="00C04132" w:rsidP="00736AAE">
            <w:pPr>
              <w:spacing w:before="120" w:after="120"/>
              <w:rPr>
                <w:rFonts w:eastAsia="Times New Roman"/>
                <w:bCs/>
                <w:iCs/>
                <w:sz w:val="20"/>
                <w:szCs w:val="20"/>
                <w:lang w:eastAsia="en-GB"/>
              </w:rPr>
            </w:pPr>
            <w:r w:rsidRPr="00B70E20">
              <w:rPr>
                <w:rFonts w:eastAsia="Times New Roman"/>
                <w:bCs/>
                <w:iCs/>
                <w:sz w:val="20"/>
                <w:szCs w:val="20"/>
                <w:lang w:eastAsia="en-GB"/>
              </w:rPr>
              <w:t xml:space="preserve">Communications strategy developed agreed </w:t>
            </w:r>
            <w:r w:rsidR="00736AAE">
              <w:rPr>
                <w:rFonts w:eastAsia="Times New Roman"/>
                <w:bCs/>
                <w:iCs/>
                <w:sz w:val="20"/>
                <w:szCs w:val="20"/>
                <w:lang w:eastAsia="en-GB"/>
              </w:rPr>
              <w:t>through</w:t>
            </w:r>
            <w:r w:rsidR="00736AAE" w:rsidRPr="00B70E20">
              <w:rPr>
                <w:rFonts w:eastAsia="Times New Roman"/>
                <w:bCs/>
                <w:iCs/>
                <w:sz w:val="20"/>
                <w:szCs w:val="20"/>
                <w:lang w:eastAsia="en-GB"/>
              </w:rPr>
              <w:t xml:space="preserve"> </w:t>
            </w:r>
            <w:r w:rsidRPr="00B70E20">
              <w:rPr>
                <w:rFonts w:eastAsia="Times New Roman"/>
                <w:bCs/>
                <w:iCs/>
                <w:sz w:val="20"/>
                <w:szCs w:val="20"/>
                <w:lang w:eastAsia="en-GB"/>
              </w:rPr>
              <w:t>Growth Board</w:t>
            </w:r>
          </w:p>
        </w:tc>
        <w:tc>
          <w:tcPr>
            <w:tcW w:w="3238" w:type="dxa"/>
          </w:tcPr>
          <w:p w:rsidR="00870870" w:rsidRDefault="00870870" w:rsidP="00FE5E2D">
            <w:pPr>
              <w:pStyle w:val="ListParagraph"/>
              <w:spacing w:before="120" w:after="120"/>
              <w:rPr>
                <w:rFonts w:eastAsia="Times New Roman"/>
                <w:bCs/>
                <w:iCs/>
                <w:sz w:val="20"/>
                <w:szCs w:val="20"/>
                <w:lang w:eastAsia="en-GB"/>
              </w:rPr>
            </w:pPr>
          </w:p>
          <w:p w:rsidR="00C04132" w:rsidRPr="00B70E20" w:rsidRDefault="00B70E20" w:rsidP="00736AAE">
            <w:pPr>
              <w:pStyle w:val="ListParagraph"/>
              <w:spacing w:before="120" w:after="120"/>
              <w:rPr>
                <w:rFonts w:eastAsia="Times New Roman"/>
                <w:bCs/>
                <w:iCs/>
                <w:sz w:val="20"/>
                <w:szCs w:val="20"/>
                <w:lang w:eastAsia="en-GB"/>
              </w:rPr>
            </w:pPr>
            <w:r w:rsidRPr="004846E8">
              <w:rPr>
                <w:rFonts w:eastAsia="Times New Roman"/>
                <w:bCs/>
                <w:iCs/>
                <w:sz w:val="20"/>
                <w:szCs w:val="20"/>
                <w:lang w:eastAsia="en-GB"/>
              </w:rPr>
              <w:t xml:space="preserve">For approval by the </w:t>
            </w:r>
            <w:r w:rsidR="00736AAE">
              <w:rPr>
                <w:rFonts w:eastAsia="Times New Roman"/>
                <w:bCs/>
                <w:iCs/>
                <w:sz w:val="20"/>
                <w:szCs w:val="20"/>
                <w:lang w:eastAsia="en-GB"/>
              </w:rPr>
              <w:t>Oxfordshire Authorities</w:t>
            </w:r>
          </w:p>
        </w:tc>
        <w:tc>
          <w:tcPr>
            <w:tcW w:w="2995" w:type="dxa"/>
          </w:tcPr>
          <w:p w:rsidR="00870870" w:rsidRDefault="00870870" w:rsidP="002E2E6F">
            <w:pPr>
              <w:pStyle w:val="ListParagraph"/>
              <w:spacing w:before="120" w:after="120"/>
              <w:rPr>
                <w:rFonts w:eastAsia="Times New Roman"/>
                <w:bCs/>
                <w:iCs/>
                <w:sz w:val="20"/>
                <w:szCs w:val="20"/>
                <w:lang w:eastAsia="en-GB"/>
              </w:rPr>
            </w:pPr>
          </w:p>
          <w:p w:rsidR="00C04132" w:rsidRPr="00B70E20" w:rsidRDefault="00E02A22" w:rsidP="002E2E6F">
            <w:pPr>
              <w:pStyle w:val="ListParagraph"/>
              <w:spacing w:before="120" w:after="120"/>
              <w:rPr>
                <w:rFonts w:eastAsia="Times New Roman"/>
                <w:bCs/>
                <w:iCs/>
                <w:sz w:val="20"/>
                <w:szCs w:val="20"/>
                <w:lang w:eastAsia="en-GB"/>
              </w:rPr>
            </w:pPr>
            <w:r>
              <w:rPr>
                <w:rFonts w:eastAsia="Times New Roman"/>
                <w:bCs/>
                <w:iCs/>
                <w:sz w:val="20"/>
                <w:szCs w:val="20"/>
                <w:lang w:eastAsia="en-GB"/>
              </w:rPr>
              <w:t>Feb</w:t>
            </w:r>
            <w:r w:rsidR="00B70E20">
              <w:rPr>
                <w:rFonts w:eastAsia="Times New Roman"/>
                <w:bCs/>
                <w:iCs/>
                <w:sz w:val="20"/>
                <w:szCs w:val="20"/>
                <w:lang w:eastAsia="en-GB"/>
              </w:rPr>
              <w:t xml:space="preserve"> </w:t>
            </w:r>
            <w:r w:rsidR="00C04132" w:rsidRPr="00B70E20">
              <w:rPr>
                <w:rFonts w:eastAsia="Times New Roman"/>
                <w:bCs/>
                <w:iCs/>
                <w:sz w:val="20"/>
                <w:szCs w:val="20"/>
                <w:lang w:eastAsia="en-GB"/>
              </w:rPr>
              <w:t xml:space="preserve"> 201</w:t>
            </w:r>
            <w:r w:rsidR="002E2E6F">
              <w:rPr>
                <w:rFonts w:eastAsia="Times New Roman"/>
                <w:bCs/>
                <w:iCs/>
                <w:sz w:val="20"/>
                <w:szCs w:val="20"/>
                <w:lang w:eastAsia="en-GB"/>
              </w:rPr>
              <w:t>8</w:t>
            </w:r>
          </w:p>
        </w:tc>
      </w:tr>
      <w:tr w:rsidR="001D6099" w:rsidTr="00FD57A3">
        <w:tc>
          <w:tcPr>
            <w:tcW w:w="3009" w:type="dxa"/>
          </w:tcPr>
          <w:p w:rsidR="001D6099" w:rsidRPr="00C90BF3" w:rsidRDefault="001D6099" w:rsidP="00BB11B4">
            <w:pPr>
              <w:spacing w:before="120" w:after="120"/>
              <w:rPr>
                <w:rFonts w:eastAsia="Times New Roman"/>
                <w:bCs/>
                <w:iCs/>
                <w:sz w:val="20"/>
                <w:szCs w:val="20"/>
                <w:lang w:eastAsia="en-GB"/>
              </w:rPr>
            </w:pPr>
            <w:r>
              <w:rPr>
                <w:rFonts w:eastAsia="Times New Roman"/>
                <w:bCs/>
                <w:iCs/>
                <w:sz w:val="20"/>
                <w:szCs w:val="20"/>
                <w:lang w:eastAsia="en-GB"/>
              </w:rPr>
              <w:t xml:space="preserve">Prepare </w:t>
            </w:r>
            <w:r w:rsidR="00BB11B4">
              <w:rPr>
                <w:rFonts w:eastAsia="Times New Roman"/>
                <w:bCs/>
                <w:iCs/>
                <w:sz w:val="20"/>
                <w:szCs w:val="20"/>
                <w:lang w:eastAsia="en-GB"/>
              </w:rPr>
              <w:t>first</w:t>
            </w:r>
            <w:r w:rsidR="00155AA3">
              <w:rPr>
                <w:rFonts w:eastAsia="Times New Roman"/>
                <w:bCs/>
                <w:iCs/>
                <w:sz w:val="20"/>
                <w:szCs w:val="20"/>
                <w:lang w:eastAsia="en-GB"/>
              </w:rPr>
              <w:t xml:space="preserve"> Statement</w:t>
            </w:r>
            <w:r>
              <w:rPr>
                <w:rFonts w:eastAsia="Times New Roman"/>
                <w:bCs/>
                <w:iCs/>
                <w:sz w:val="20"/>
                <w:szCs w:val="20"/>
                <w:lang w:eastAsia="en-GB"/>
              </w:rPr>
              <w:t xml:space="preserve"> of C</w:t>
            </w:r>
            <w:r w:rsidRPr="00C90BF3">
              <w:rPr>
                <w:rFonts w:eastAsia="Times New Roman"/>
                <w:bCs/>
                <w:iCs/>
                <w:sz w:val="20"/>
                <w:szCs w:val="20"/>
                <w:lang w:eastAsia="en-GB"/>
              </w:rPr>
              <w:t xml:space="preserve">ommon </w:t>
            </w:r>
            <w:r>
              <w:rPr>
                <w:rFonts w:eastAsia="Times New Roman"/>
                <w:bCs/>
                <w:iCs/>
                <w:sz w:val="20"/>
                <w:szCs w:val="20"/>
                <w:lang w:eastAsia="en-GB"/>
              </w:rPr>
              <w:t>G</w:t>
            </w:r>
            <w:r w:rsidRPr="00C90BF3">
              <w:rPr>
                <w:rFonts w:eastAsia="Times New Roman"/>
                <w:bCs/>
                <w:iCs/>
                <w:sz w:val="20"/>
                <w:szCs w:val="20"/>
                <w:lang w:eastAsia="en-GB"/>
              </w:rPr>
              <w:t>round</w:t>
            </w:r>
            <w:r w:rsidR="00BB11B4">
              <w:rPr>
                <w:rFonts w:eastAsia="Times New Roman"/>
                <w:bCs/>
                <w:iCs/>
                <w:sz w:val="20"/>
                <w:szCs w:val="20"/>
                <w:lang w:eastAsia="en-GB"/>
              </w:rPr>
              <w:t xml:space="preserve"> </w:t>
            </w:r>
            <w:r w:rsidR="00155AA3">
              <w:rPr>
                <w:rFonts w:eastAsia="Times New Roman"/>
                <w:bCs/>
                <w:iCs/>
                <w:sz w:val="20"/>
                <w:szCs w:val="20"/>
                <w:lang w:eastAsia="en-GB"/>
              </w:rPr>
              <w:t>(SoCG)</w:t>
            </w:r>
          </w:p>
        </w:tc>
        <w:tc>
          <w:tcPr>
            <w:tcW w:w="3238" w:type="dxa"/>
          </w:tcPr>
          <w:p w:rsidR="001D6099" w:rsidRPr="00B70E20" w:rsidRDefault="00870870" w:rsidP="00736AAE">
            <w:pPr>
              <w:pStyle w:val="ListParagraph"/>
              <w:spacing w:before="120" w:after="120"/>
              <w:rPr>
                <w:rFonts w:eastAsia="Times New Roman"/>
                <w:bCs/>
                <w:iCs/>
                <w:sz w:val="20"/>
                <w:szCs w:val="20"/>
                <w:lang w:eastAsia="en-GB"/>
              </w:rPr>
            </w:pPr>
            <w:r>
              <w:rPr>
                <w:rFonts w:eastAsia="Times New Roman"/>
                <w:bCs/>
                <w:iCs/>
                <w:sz w:val="20"/>
                <w:szCs w:val="20"/>
                <w:lang w:eastAsia="en-GB"/>
              </w:rPr>
              <w:t xml:space="preserve">High-level SoCG to cover Duty to Cooperate matters etc. </w:t>
            </w:r>
            <w:r w:rsidRPr="00870870">
              <w:rPr>
                <w:rFonts w:eastAsia="Times New Roman"/>
                <w:bCs/>
                <w:iCs/>
                <w:sz w:val="20"/>
                <w:szCs w:val="20"/>
                <w:lang w:eastAsia="en-GB"/>
              </w:rPr>
              <w:t xml:space="preserve">For approval by </w:t>
            </w:r>
            <w:proofErr w:type="spellStart"/>
            <w:r w:rsidR="00736AAE">
              <w:rPr>
                <w:rFonts w:eastAsia="Times New Roman"/>
                <w:bCs/>
                <w:iCs/>
                <w:sz w:val="20"/>
                <w:szCs w:val="20"/>
                <w:lang w:eastAsia="en-GB"/>
              </w:rPr>
              <w:t>Oxfrodshire</w:t>
            </w:r>
            <w:proofErr w:type="spellEnd"/>
            <w:r w:rsidR="00736AAE">
              <w:rPr>
                <w:rFonts w:eastAsia="Times New Roman"/>
                <w:bCs/>
                <w:iCs/>
                <w:sz w:val="20"/>
                <w:szCs w:val="20"/>
                <w:lang w:eastAsia="en-GB"/>
              </w:rPr>
              <w:t xml:space="preserve"> authorities </w:t>
            </w:r>
            <w:r w:rsidR="00F64C01">
              <w:rPr>
                <w:rFonts w:eastAsia="Times New Roman"/>
                <w:bCs/>
                <w:iCs/>
                <w:sz w:val="20"/>
                <w:szCs w:val="20"/>
                <w:lang w:eastAsia="en-GB"/>
              </w:rPr>
              <w:t>(to be reviewed annually)</w:t>
            </w:r>
          </w:p>
        </w:tc>
        <w:tc>
          <w:tcPr>
            <w:tcW w:w="2995" w:type="dxa"/>
          </w:tcPr>
          <w:p w:rsidR="001D6099" w:rsidRDefault="001D6099" w:rsidP="00E0610C">
            <w:pPr>
              <w:pStyle w:val="ListParagraph"/>
              <w:spacing w:before="120" w:after="120"/>
              <w:rPr>
                <w:rFonts w:eastAsia="Times New Roman"/>
                <w:bCs/>
                <w:iCs/>
                <w:sz w:val="20"/>
                <w:szCs w:val="20"/>
                <w:lang w:eastAsia="en-GB"/>
              </w:rPr>
            </w:pPr>
          </w:p>
          <w:p w:rsidR="001D6099" w:rsidRPr="00B70E20" w:rsidRDefault="001D6099" w:rsidP="00E0610C">
            <w:pPr>
              <w:pStyle w:val="ListParagraph"/>
              <w:spacing w:before="120" w:after="120"/>
              <w:rPr>
                <w:rFonts w:eastAsia="Times New Roman"/>
                <w:bCs/>
                <w:iCs/>
                <w:sz w:val="20"/>
                <w:szCs w:val="20"/>
                <w:lang w:eastAsia="en-GB"/>
              </w:rPr>
            </w:pPr>
            <w:r>
              <w:rPr>
                <w:rFonts w:eastAsia="Times New Roman"/>
                <w:bCs/>
                <w:iCs/>
                <w:sz w:val="20"/>
                <w:szCs w:val="20"/>
                <w:lang w:eastAsia="en-GB"/>
              </w:rPr>
              <w:t>Feb 2018</w:t>
            </w:r>
          </w:p>
        </w:tc>
      </w:tr>
      <w:tr w:rsidR="00DD14B6" w:rsidTr="00FD57A3">
        <w:tc>
          <w:tcPr>
            <w:tcW w:w="3009" w:type="dxa"/>
          </w:tcPr>
          <w:p w:rsidR="00DD14B6" w:rsidRDefault="00DD14B6" w:rsidP="001F550F">
            <w:pPr>
              <w:spacing w:before="120" w:after="120"/>
              <w:rPr>
                <w:rFonts w:eastAsia="Times New Roman"/>
                <w:bCs/>
                <w:iCs/>
                <w:sz w:val="20"/>
                <w:szCs w:val="20"/>
                <w:lang w:eastAsia="en-GB"/>
              </w:rPr>
            </w:pPr>
            <w:r w:rsidRPr="00B70E20">
              <w:rPr>
                <w:rFonts w:eastAsia="Times New Roman"/>
                <w:bCs/>
                <w:iCs/>
                <w:sz w:val="20"/>
                <w:szCs w:val="20"/>
                <w:lang w:eastAsia="en-GB"/>
              </w:rPr>
              <w:t>Develop operating framework for plan including: Statement of Community Invol</w:t>
            </w:r>
            <w:r w:rsidRPr="00DF6146">
              <w:rPr>
                <w:rFonts w:eastAsia="Times New Roman"/>
                <w:bCs/>
                <w:iCs/>
                <w:sz w:val="20"/>
                <w:szCs w:val="20"/>
                <w:lang w:eastAsia="en-GB"/>
              </w:rPr>
              <w:t>vement (SCI); Local Development Scheme (LDS) or plan timeline; and Sustainability Appraisal (SA) scoping report/</w:t>
            </w:r>
          </w:p>
        </w:tc>
        <w:tc>
          <w:tcPr>
            <w:tcW w:w="3238" w:type="dxa"/>
          </w:tcPr>
          <w:p w:rsidR="00DD14B6" w:rsidRDefault="00DD14B6" w:rsidP="001F550F">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Prepare supporting framework/documentation to guide the development of the plan</w:t>
            </w:r>
          </w:p>
        </w:tc>
        <w:tc>
          <w:tcPr>
            <w:tcW w:w="2995" w:type="dxa"/>
          </w:tcPr>
          <w:p w:rsidR="00DD14B6" w:rsidRPr="007A022B" w:rsidRDefault="00DD14B6" w:rsidP="001F550F">
            <w:pPr>
              <w:pStyle w:val="ListParagraph"/>
              <w:spacing w:before="120" w:after="120"/>
              <w:rPr>
                <w:rFonts w:eastAsia="Times New Roman"/>
                <w:bCs/>
                <w:iCs/>
                <w:sz w:val="20"/>
                <w:szCs w:val="20"/>
                <w:lang w:eastAsia="en-GB"/>
              </w:rPr>
            </w:pPr>
            <w:r w:rsidRPr="007A022B">
              <w:rPr>
                <w:rFonts w:eastAsia="Times New Roman"/>
                <w:bCs/>
                <w:iCs/>
                <w:sz w:val="20"/>
                <w:szCs w:val="20"/>
                <w:lang w:eastAsia="en-GB"/>
              </w:rPr>
              <w:t>LDS &amp; SCI by Feb 2018</w:t>
            </w:r>
          </w:p>
          <w:p w:rsidR="00DD14B6" w:rsidRDefault="00DD14B6" w:rsidP="001F550F">
            <w:pPr>
              <w:pStyle w:val="ListParagraph"/>
              <w:spacing w:before="120" w:after="120"/>
              <w:rPr>
                <w:rFonts w:eastAsia="Times New Roman"/>
                <w:bCs/>
                <w:iCs/>
                <w:sz w:val="20"/>
                <w:szCs w:val="20"/>
                <w:lang w:eastAsia="en-GB"/>
              </w:rPr>
            </w:pPr>
            <w:r w:rsidRPr="00EB000B">
              <w:rPr>
                <w:rFonts w:eastAsia="Times New Roman"/>
                <w:bCs/>
                <w:iCs/>
                <w:sz w:val="20"/>
                <w:szCs w:val="20"/>
                <w:lang w:eastAsia="en-GB"/>
              </w:rPr>
              <w:t xml:space="preserve">SA scoping start Feb </w:t>
            </w:r>
            <w:r w:rsidRPr="00DF6146">
              <w:rPr>
                <w:rFonts w:eastAsia="Times New Roman"/>
                <w:bCs/>
                <w:iCs/>
                <w:sz w:val="20"/>
                <w:szCs w:val="20"/>
                <w:lang w:eastAsia="en-GB"/>
              </w:rPr>
              <w:t>2018</w:t>
            </w:r>
          </w:p>
        </w:tc>
      </w:tr>
      <w:tr w:rsidR="001D6099" w:rsidTr="00203FA8">
        <w:tc>
          <w:tcPr>
            <w:tcW w:w="3009" w:type="dxa"/>
            <w:tcBorders>
              <w:bottom w:val="single" w:sz="4" w:space="0" w:color="auto"/>
            </w:tcBorders>
          </w:tcPr>
          <w:p w:rsidR="001D6099" w:rsidRPr="00B70E20" w:rsidRDefault="001D6099" w:rsidP="00FE5E2D">
            <w:pPr>
              <w:pStyle w:val="ListParagraph"/>
              <w:spacing w:before="120" w:after="120"/>
              <w:rPr>
                <w:rFonts w:eastAsia="Times New Roman"/>
                <w:bCs/>
                <w:iCs/>
                <w:sz w:val="20"/>
                <w:szCs w:val="20"/>
                <w:lang w:eastAsia="en-GB"/>
              </w:rPr>
            </w:pPr>
          </w:p>
          <w:p w:rsidR="001D6099" w:rsidRPr="00DF6146" w:rsidRDefault="001D6099" w:rsidP="007F60E6">
            <w:pPr>
              <w:spacing w:before="120" w:after="120"/>
              <w:rPr>
                <w:rFonts w:eastAsia="Times New Roman"/>
                <w:bCs/>
                <w:iCs/>
                <w:sz w:val="20"/>
                <w:szCs w:val="20"/>
                <w:lang w:eastAsia="en-GB"/>
              </w:rPr>
            </w:pPr>
            <w:r w:rsidRPr="00DF6146">
              <w:rPr>
                <w:rFonts w:eastAsia="Times New Roman"/>
                <w:bCs/>
                <w:iCs/>
                <w:sz w:val="20"/>
                <w:szCs w:val="20"/>
                <w:lang w:eastAsia="en-GB"/>
              </w:rPr>
              <w:t xml:space="preserve">Commissioning of the early evidence base documents  including  SHMA, and economic modelling; scope other evidence base required for JSP </w:t>
            </w:r>
          </w:p>
        </w:tc>
        <w:tc>
          <w:tcPr>
            <w:tcW w:w="3238" w:type="dxa"/>
            <w:tcBorders>
              <w:bottom w:val="single" w:sz="4" w:space="0" w:color="auto"/>
            </w:tcBorders>
          </w:tcPr>
          <w:p w:rsidR="001D6099" w:rsidRPr="00085830" w:rsidRDefault="001D6099" w:rsidP="00085830">
            <w:pPr>
              <w:spacing w:before="120" w:after="120"/>
              <w:rPr>
                <w:rFonts w:eastAsia="Times New Roman"/>
                <w:bCs/>
                <w:iCs/>
                <w:sz w:val="20"/>
                <w:szCs w:val="20"/>
                <w:lang w:eastAsia="en-GB"/>
              </w:rPr>
            </w:pPr>
          </w:p>
          <w:p w:rsidR="001D6099" w:rsidRPr="00EB000B" w:rsidRDefault="001D6099" w:rsidP="00FE5E2D">
            <w:pPr>
              <w:pStyle w:val="ListParagraph"/>
              <w:spacing w:before="120" w:after="120"/>
              <w:rPr>
                <w:rFonts w:eastAsia="Times New Roman"/>
                <w:bCs/>
                <w:iCs/>
                <w:sz w:val="20"/>
                <w:szCs w:val="20"/>
                <w:lang w:eastAsia="en-GB"/>
              </w:rPr>
            </w:pPr>
            <w:r w:rsidRPr="00EB000B">
              <w:rPr>
                <w:rFonts w:eastAsia="Times New Roman"/>
                <w:bCs/>
                <w:iCs/>
                <w:sz w:val="20"/>
                <w:szCs w:val="20"/>
                <w:lang w:eastAsia="en-GB"/>
              </w:rPr>
              <w:t>An updated SHMA to reflect updated government guidance (consultation issued Sept 2017)</w:t>
            </w:r>
          </w:p>
          <w:p w:rsidR="001D6099" w:rsidRPr="00B70E20" w:rsidRDefault="001D6099" w:rsidP="00FE5E2D">
            <w:pPr>
              <w:spacing w:before="120" w:after="120"/>
              <w:rPr>
                <w:rFonts w:eastAsia="Times New Roman"/>
                <w:bCs/>
                <w:iCs/>
                <w:sz w:val="20"/>
                <w:szCs w:val="20"/>
                <w:lang w:eastAsia="en-GB"/>
              </w:rPr>
            </w:pPr>
          </w:p>
        </w:tc>
        <w:tc>
          <w:tcPr>
            <w:tcW w:w="2995" w:type="dxa"/>
            <w:tcBorders>
              <w:bottom w:val="single" w:sz="4" w:space="0" w:color="auto"/>
            </w:tcBorders>
          </w:tcPr>
          <w:p w:rsidR="001D6099" w:rsidRPr="00B70E20" w:rsidRDefault="001D6099" w:rsidP="00FE5E2D">
            <w:pPr>
              <w:pStyle w:val="ListParagraph"/>
              <w:spacing w:before="120" w:after="120"/>
              <w:rPr>
                <w:rFonts w:eastAsia="Times New Roman"/>
                <w:bCs/>
                <w:iCs/>
                <w:sz w:val="20"/>
                <w:szCs w:val="20"/>
                <w:lang w:eastAsia="en-GB"/>
              </w:rPr>
            </w:pPr>
          </w:p>
          <w:p w:rsidR="001D6099" w:rsidRPr="00B70E20" w:rsidRDefault="001D6099" w:rsidP="00157D9D">
            <w:pPr>
              <w:spacing w:before="120" w:after="120"/>
              <w:ind w:left="360"/>
              <w:rPr>
                <w:rFonts w:eastAsia="Times New Roman"/>
                <w:bCs/>
                <w:iCs/>
                <w:sz w:val="20"/>
                <w:szCs w:val="20"/>
                <w:lang w:eastAsia="en-GB"/>
              </w:rPr>
            </w:pPr>
            <w:r w:rsidRPr="00B70E20">
              <w:rPr>
                <w:rFonts w:eastAsia="Times New Roman"/>
                <w:bCs/>
                <w:iCs/>
                <w:sz w:val="20"/>
                <w:szCs w:val="20"/>
                <w:lang w:eastAsia="en-GB"/>
              </w:rPr>
              <w:t xml:space="preserve">Start commissioning Jan 2018 (actual SHMA or housing need evidence would need revised method confirmed in updated NPPF, estimated </w:t>
            </w:r>
            <w:r w:rsidR="00157D9D">
              <w:rPr>
                <w:rFonts w:eastAsia="Times New Roman"/>
                <w:bCs/>
                <w:iCs/>
                <w:sz w:val="20"/>
                <w:szCs w:val="20"/>
                <w:lang w:eastAsia="en-GB"/>
              </w:rPr>
              <w:t>Spring</w:t>
            </w:r>
            <w:r w:rsidRPr="00B70E20">
              <w:rPr>
                <w:rFonts w:eastAsia="Times New Roman"/>
                <w:bCs/>
                <w:iCs/>
                <w:sz w:val="20"/>
                <w:szCs w:val="20"/>
                <w:lang w:eastAsia="en-GB"/>
              </w:rPr>
              <w:t xml:space="preserve"> 2018)</w:t>
            </w:r>
          </w:p>
        </w:tc>
      </w:tr>
      <w:tr w:rsidR="00ED44B9" w:rsidTr="00F372DF">
        <w:tc>
          <w:tcPr>
            <w:tcW w:w="6247" w:type="dxa"/>
            <w:gridSpan w:val="2"/>
            <w:shd w:val="clear" w:color="auto" w:fill="D9D9D9" w:themeFill="background1" w:themeFillShade="D9"/>
          </w:tcPr>
          <w:p w:rsidR="00ED44B9" w:rsidRPr="00E0610C" w:rsidRDefault="00ED44B9" w:rsidP="00B85AAC">
            <w:pPr>
              <w:spacing w:before="120" w:after="120"/>
              <w:rPr>
                <w:rFonts w:eastAsia="Times New Roman"/>
                <w:b/>
                <w:bCs/>
                <w:iCs/>
                <w:sz w:val="20"/>
                <w:szCs w:val="20"/>
                <w:lang w:eastAsia="en-GB"/>
              </w:rPr>
            </w:pPr>
            <w:r w:rsidRPr="00E0610C">
              <w:rPr>
                <w:rFonts w:eastAsia="Times New Roman"/>
                <w:b/>
                <w:bCs/>
                <w:iCs/>
                <w:sz w:val="20"/>
                <w:szCs w:val="20"/>
                <w:lang w:eastAsia="en-GB"/>
              </w:rPr>
              <w:t>Decision point 1 – Scope- is the JSP a broad spatial strategy</w:t>
            </w:r>
            <w:r>
              <w:rPr>
                <w:rFonts w:eastAsia="Times New Roman"/>
                <w:b/>
                <w:bCs/>
                <w:iCs/>
                <w:sz w:val="20"/>
                <w:szCs w:val="20"/>
                <w:lang w:eastAsia="en-GB"/>
              </w:rPr>
              <w:t xml:space="preserve"> for growth</w:t>
            </w:r>
            <w:r w:rsidRPr="00E0610C">
              <w:rPr>
                <w:rFonts w:eastAsia="Times New Roman"/>
                <w:b/>
                <w:bCs/>
                <w:iCs/>
                <w:sz w:val="20"/>
                <w:szCs w:val="20"/>
                <w:lang w:eastAsia="en-GB"/>
              </w:rPr>
              <w:t xml:space="preserve"> or will it include more </w:t>
            </w:r>
            <w:r>
              <w:rPr>
                <w:rFonts w:eastAsia="Times New Roman"/>
                <w:b/>
                <w:bCs/>
                <w:iCs/>
                <w:sz w:val="20"/>
                <w:szCs w:val="20"/>
                <w:lang w:eastAsia="en-GB"/>
              </w:rPr>
              <w:t>detail about growth areas at a sub county level</w:t>
            </w:r>
          </w:p>
        </w:tc>
        <w:tc>
          <w:tcPr>
            <w:tcW w:w="2995" w:type="dxa"/>
            <w:shd w:val="clear" w:color="auto" w:fill="D9D9D9" w:themeFill="background1" w:themeFillShade="D9"/>
          </w:tcPr>
          <w:p w:rsidR="00ED44B9" w:rsidRPr="00F372DF" w:rsidRDefault="00F372DF" w:rsidP="00CC35D4">
            <w:pPr>
              <w:pStyle w:val="ListParagraph"/>
              <w:spacing w:before="120" w:after="120"/>
              <w:rPr>
                <w:rFonts w:eastAsia="Times New Roman"/>
                <w:b/>
                <w:bCs/>
                <w:iCs/>
                <w:sz w:val="20"/>
                <w:szCs w:val="20"/>
                <w:lang w:eastAsia="en-GB"/>
              </w:rPr>
            </w:pPr>
            <w:r w:rsidRPr="00F372DF">
              <w:rPr>
                <w:rFonts w:eastAsia="Times New Roman"/>
                <w:b/>
                <w:bCs/>
                <w:iCs/>
                <w:sz w:val="20"/>
                <w:szCs w:val="20"/>
                <w:lang w:eastAsia="en-GB"/>
              </w:rPr>
              <w:t>April 2018</w:t>
            </w:r>
          </w:p>
        </w:tc>
      </w:tr>
      <w:tr w:rsidR="00ED44B9" w:rsidTr="00FD57A3">
        <w:tc>
          <w:tcPr>
            <w:tcW w:w="3009" w:type="dxa"/>
          </w:tcPr>
          <w:p w:rsidR="00ED44B9" w:rsidRPr="00C90BF3" w:rsidRDefault="00ED44B9" w:rsidP="00155AA3">
            <w:pPr>
              <w:spacing w:before="120" w:after="120"/>
              <w:rPr>
                <w:rFonts w:eastAsia="Times New Roman"/>
                <w:bCs/>
                <w:iCs/>
                <w:sz w:val="20"/>
                <w:szCs w:val="20"/>
                <w:lang w:eastAsia="en-GB"/>
              </w:rPr>
            </w:pPr>
            <w:r>
              <w:rPr>
                <w:rFonts w:eastAsia="Times New Roman"/>
                <w:bCs/>
                <w:iCs/>
                <w:sz w:val="20"/>
                <w:szCs w:val="20"/>
                <w:lang w:eastAsia="en-GB"/>
              </w:rPr>
              <w:t xml:space="preserve">Review and revise  </w:t>
            </w:r>
            <w:proofErr w:type="spellStart"/>
            <w:r>
              <w:rPr>
                <w:rFonts w:eastAsia="Times New Roman"/>
                <w:bCs/>
                <w:iCs/>
                <w:sz w:val="20"/>
                <w:szCs w:val="20"/>
                <w:lang w:eastAsia="en-GB"/>
              </w:rPr>
              <w:t>SoCG</w:t>
            </w:r>
            <w:proofErr w:type="spellEnd"/>
            <w:r>
              <w:rPr>
                <w:rFonts w:eastAsia="Times New Roman"/>
                <w:bCs/>
                <w:iCs/>
                <w:sz w:val="20"/>
                <w:szCs w:val="20"/>
                <w:lang w:eastAsia="en-GB"/>
              </w:rPr>
              <w:t>(if necessary)</w:t>
            </w:r>
          </w:p>
        </w:tc>
        <w:tc>
          <w:tcPr>
            <w:tcW w:w="3238" w:type="dxa"/>
          </w:tcPr>
          <w:p w:rsidR="00ED44B9" w:rsidRPr="00DE1BCC" w:rsidRDefault="00ED44B9" w:rsidP="00736AAE">
            <w:pPr>
              <w:spacing w:before="120" w:after="120"/>
              <w:rPr>
                <w:rFonts w:eastAsia="Times New Roman"/>
                <w:bCs/>
                <w:iCs/>
                <w:sz w:val="20"/>
                <w:szCs w:val="20"/>
                <w:lang w:eastAsia="en-GB"/>
              </w:rPr>
            </w:pPr>
            <w:r w:rsidRPr="00DE1BCC">
              <w:rPr>
                <w:rFonts w:eastAsia="Times New Roman"/>
                <w:bCs/>
                <w:iCs/>
                <w:sz w:val="20"/>
                <w:szCs w:val="20"/>
                <w:lang w:eastAsia="en-GB"/>
              </w:rPr>
              <w:t xml:space="preserve">A detailed SoCG to cover the next phase of JSP. For approval by the </w:t>
            </w:r>
            <w:r w:rsidR="00085830">
              <w:rPr>
                <w:rFonts w:eastAsia="Times New Roman"/>
                <w:bCs/>
                <w:iCs/>
                <w:sz w:val="20"/>
                <w:szCs w:val="20"/>
                <w:lang w:eastAsia="en-GB"/>
              </w:rPr>
              <w:t>Oxfordshire</w:t>
            </w:r>
            <w:r w:rsidR="00736AAE">
              <w:rPr>
                <w:rFonts w:eastAsia="Times New Roman"/>
                <w:bCs/>
                <w:iCs/>
                <w:sz w:val="20"/>
                <w:szCs w:val="20"/>
                <w:lang w:eastAsia="en-GB"/>
              </w:rPr>
              <w:t xml:space="preserve"> Authorities</w:t>
            </w:r>
          </w:p>
        </w:tc>
        <w:tc>
          <w:tcPr>
            <w:tcW w:w="2995" w:type="dxa"/>
          </w:tcPr>
          <w:p w:rsidR="00ED44B9" w:rsidRDefault="00ED44B9" w:rsidP="00CC35D4">
            <w:pPr>
              <w:pStyle w:val="ListParagraph"/>
              <w:spacing w:before="120" w:after="120"/>
              <w:rPr>
                <w:rFonts w:eastAsia="Times New Roman"/>
                <w:bCs/>
                <w:iCs/>
                <w:sz w:val="20"/>
                <w:szCs w:val="20"/>
                <w:lang w:eastAsia="en-GB"/>
              </w:rPr>
            </w:pPr>
          </w:p>
          <w:p w:rsidR="00ED44B9" w:rsidRPr="00B70E20" w:rsidRDefault="00ED44B9" w:rsidP="00CC35D4">
            <w:pPr>
              <w:pStyle w:val="ListParagraph"/>
              <w:spacing w:before="120" w:after="120"/>
              <w:rPr>
                <w:rFonts w:eastAsia="Times New Roman"/>
                <w:bCs/>
                <w:iCs/>
                <w:sz w:val="20"/>
                <w:szCs w:val="20"/>
                <w:lang w:eastAsia="en-GB"/>
              </w:rPr>
            </w:pPr>
            <w:r>
              <w:rPr>
                <w:rFonts w:eastAsia="Times New Roman"/>
                <w:bCs/>
                <w:iCs/>
                <w:sz w:val="20"/>
                <w:szCs w:val="20"/>
                <w:lang w:eastAsia="en-GB"/>
              </w:rPr>
              <w:t>April-May 2018</w:t>
            </w:r>
          </w:p>
        </w:tc>
      </w:tr>
      <w:tr w:rsidR="00ED44B9" w:rsidTr="00203FA8">
        <w:tc>
          <w:tcPr>
            <w:tcW w:w="3009" w:type="dxa"/>
            <w:tcBorders>
              <w:bottom w:val="single" w:sz="4" w:space="0" w:color="auto"/>
            </w:tcBorders>
          </w:tcPr>
          <w:p w:rsidR="00ED44B9" w:rsidRPr="00B70E20" w:rsidRDefault="00ED44B9" w:rsidP="007F60E6">
            <w:pPr>
              <w:spacing w:before="120" w:after="120"/>
              <w:rPr>
                <w:rFonts w:eastAsia="Times New Roman"/>
                <w:bCs/>
                <w:iCs/>
                <w:sz w:val="20"/>
                <w:szCs w:val="20"/>
                <w:lang w:eastAsia="en-GB"/>
              </w:rPr>
            </w:pPr>
            <w:r w:rsidRPr="00B70E20">
              <w:rPr>
                <w:rFonts w:eastAsia="Times New Roman"/>
                <w:bCs/>
                <w:iCs/>
                <w:sz w:val="20"/>
                <w:szCs w:val="20"/>
                <w:lang w:eastAsia="en-GB"/>
              </w:rPr>
              <w:t>Scoping of issues and Options – including public consultation</w:t>
            </w:r>
          </w:p>
        </w:tc>
        <w:tc>
          <w:tcPr>
            <w:tcW w:w="3238" w:type="dxa"/>
            <w:tcBorders>
              <w:bottom w:val="single" w:sz="4" w:space="0" w:color="auto"/>
            </w:tcBorders>
          </w:tcPr>
          <w:p w:rsidR="00ED44B9" w:rsidRPr="00085830" w:rsidRDefault="00ED44B9" w:rsidP="00085830">
            <w:pPr>
              <w:spacing w:before="120" w:after="120"/>
              <w:rPr>
                <w:rFonts w:eastAsia="Times New Roman"/>
                <w:bCs/>
                <w:iCs/>
                <w:sz w:val="20"/>
                <w:szCs w:val="20"/>
                <w:lang w:eastAsia="en-GB"/>
              </w:rPr>
            </w:pPr>
            <w:r w:rsidRPr="00C707CC">
              <w:rPr>
                <w:rFonts w:eastAsia="Times New Roman"/>
                <w:bCs/>
                <w:iCs/>
                <w:sz w:val="20"/>
                <w:szCs w:val="20"/>
                <w:lang w:eastAsia="en-GB"/>
              </w:rPr>
              <w:t>The preparation of an Issues and Options document</w:t>
            </w:r>
            <w:r>
              <w:rPr>
                <w:rFonts w:eastAsia="Times New Roman"/>
                <w:bCs/>
                <w:iCs/>
                <w:sz w:val="20"/>
                <w:szCs w:val="20"/>
                <w:lang w:eastAsia="en-GB"/>
              </w:rPr>
              <w:t>.</w:t>
            </w:r>
            <w:r w:rsidRPr="00C707CC">
              <w:rPr>
                <w:rFonts w:eastAsia="Times New Roman"/>
                <w:bCs/>
                <w:iCs/>
                <w:sz w:val="20"/>
                <w:szCs w:val="20"/>
                <w:lang w:eastAsia="en-GB"/>
              </w:rPr>
              <w:t xml:space="preserve"> </w:t>
            </w:r>
            <w:r>
              <w:rPr>
                <w:rFonts w:eastAsia="Times New Roman"/>
                <w:bCs/>
                <w:iCs/>
                <w:sz w:val="20"/>
                <w:szCs w:val="20"/>
                <w:lang w:eastAsia="en-GB"/>
              </w:rPr>
              <w:t>I</w:t>
            </w:r>
            <w:r w:rsidRPr="00C707CC">
              <w:rPr>
                <w:rFonts w:eastAsia="Times New Roman"/>
                <w:bCs/>
                <w:iCs/>
                <w:sz w:val="20"/>
                <w:szCs w:val="20"/>
                <w:lang w:eastAsia="en-GB"/>
              </w:rPr>
              <w:t xml:space="preserve">dentifying the key issues facing </w:t>
            </w:r>
            <w:r>
              <w:rPr>
                <w:rFonts w:eastAsia="Times New Roman"/>
                <w:bCs/>
                <w:iCs/>
                <w:sz w:val="20"/>
                <w:szCs w:val="20"/>
                <w:lang w:eastAsia="en-GB"/>
              </w:rPr>
              <w:t>Oxfordshire</w:t>
            </w:r>
            <w:r w:rsidRPr="00C707CC">
              <w:rPr>
                <w:rFonts w:eastAsia="Times New Roman"/>
                <w:bCs/>
                <w:iCs/>
                <w:sz w:val="20"/>
                <w:szCs w:val="20"/>
                <w:lang w:eastAsia="en-GB"/>
              </w:rPr>
              <w:t xml:space="preserve"> and the op</w:t>
            </w:r>
            <w:r>
              <w:rPr>
                <w:rFonts w:eastAsia="Times New Roman"/>
                <w:bCs/>
                <w:iCs/>
                <w:sz w:val="20"/>
                <w:szCs w:val="20"/>
                <w:lang w:eastAsia="en-GB"/>
              </w:rPr>
              <w:t xml:space="preserve">tions for addressing them, including </w:t>
            </w:r>
            <w:r w:rsidRPr="00C707CC">
              <w:rPr>
                <w:rFonts w:eastAsia="Times New Roman"/>
                <w:bCs/>
                <w:iCs/>
                <w:sz w:val="20"/>
                <w:szCs w:val="20"/>
                <w:lang w:eastAsia="en-GB"/>
              </w:rPr>
              <w:t>public consultation</w:t>
            </w:r>
            <w:r>
              <w:rPr>
                <w:rFonts w:eastAsia="Times New Roman"/>
                <w:bCs/>
                <w:iCs/>
                <w:sz w:val="20"/>
                <w:szCs w:val="20"/>
                <w:lang w:eastAsia="en-GB"/>
              </w:rPr>
              <w:t>.</w:t>
            </w:r>
          </w:p>
          <w:p w:rsidR="00ED44B9" w:rsidRPr="00DF6146" w:rsidRDefault="00ED44B9"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 xml:space="preserve"> </w:t>
            </w:r>
          </w:p>
        </w:tc>
        <w:tc>
          <w:tcPr>
            <w:tcW w:w="2995" w:type="dxa"/>
            <w:tcBorders>
              <w:bottom w:val="single" w:sz="4" w:space="0" w:color="auto"/>
            </w:tcBorders>
          </w:tcPr>
          <w:p w:rsidR="00ED44B9" w:rsidRPr="007A022B" w:rsidRDefault="00ED44B9" w:rsidP="00FE5E2D">
            <w:pPr>
              <w:pStyle w:val="ListParagraph"/>
              <w:spacing w:before="120" w:after="120"/>
              <w:rPr>
                <w:rFonts w:eastAsia="Times New Roman"/>
                <w:bCs/>
                <w:iCs/>
                <w:sz w:val="20"/>
                <w:szCs w:val="20"/>
                <w:lang w:eastAsia="en-GB"/>
              </w:rPr>
            </w:pPr>
          </w:p>
          <w:p w:rsidR="00ED44B9" w:rsidRPr="007A022B" w:rsidRDefault="00ED44B9" w:rsidP="00C90BF3">
            <w:pPr>
              <w:pStyle w:val="ListParagraph"/>
              <w:spacing w:before="120" w:after="120"/>
              <w:rPr>
                <w:rFonts w:eastAsia="Times New Roman"/>
                <w:bCs/>
                <w:iCs/>
                <w:sz w:val="20"/>
                <w:szCs w:val="20"/>
                <w:lang w:eastAsia="en-GB"/>
              </w:rPr>
            </w:pPr>
            <w:r w:rsidRPr="007A022B">
              <w:rPr>
                <w:rFonts w:eastAsia="Times New Roman"/>
                <w:bCs/>
                <w:iCs/>
                <w:sz w:val="20"/>
                <w:szCs w:val="20"/>
                <w:lang w:eastAsia="en-GB"/>
              </w:rPr>
              <w:t>pub</w:t>
            </w:r>
            <w:r>
              <w:rPr>
                <w:rFonts w:eastAsia="Times New Roman"/>
                <w:bCs/>
                <w:iCs/>
                <w:sz w:val="20"/>
                <w:szCs w:val="20"/>
                <w:lang w:eastAsia="en-GB"/>
              </w:rPr>
              <w:t>lish for consultation upon completion of the SHMA/OAN- hopefully by August 2018</w:t>
            </w:r>
          </w:p>
        </w:tc>
      </w:tr>
      <w:tr w:rsidR="00C66E74" w:rsidTr="00C66E74">
        <w:tc>
          <w:tcPr>
            <w:tcW w:w="6247" w:type="dxa"/>
            <w:gridSpan w:val="2"/>
            <w:shd w:val="clear" w:color="auto" w:fill="D9D9D9" w:themeFill="background1" w:themeFillShade="D9"/>
          </w:tcPr>
          <w:p w:rsidR="00C66E74" w:rsidRPr="00E0610C" w:rsidRDefault="00C66E74" w:rsidP="00B85AAC">
            <w:pPr>
              <w:spacing w:before="120" w:after="120"/>
              <w:rPr>
                <w:rFonts w:eastAsia="Times New Roman"/>
                <w:b/>
                <w:bCs/>
                <w:iCs/>
                <w:sz w:val="20"/>
                <w:szCs w:val="20"/>
                <w:lang w:eastAsia="en-GB"/>
              </w:rPr>
            </w:pPr>
            <w:r w:rsidRPr="00E0610C">
              <w:rPr>
                <w:rFonts w:eastAsia="Times New Roman"/>
                <w:b/>
                <w:bCs/>
                <w:iCs/>
                <w:sz w:val="20"/>
                <w:szCs w:val="20"/>
                <w:lang w:eastAsia="en-GB"/>
              </w:rPr>
              <w:t xml:space="preserve">Decision point 2 – </w:t>
            </w:r>
            <w:r w:rsidRPr="00410564">
              <w:rPr>
                <w:rFonts w:eastAsia="Times New Roman"/>
                <w:b/>
                <w:bCs/>
                <w:iCs/>
                <w:sz w:val="20"/>
                <w:szCs w:val="20"/>
                <w:lang w:eastAsia="en-GB"/>
              </w:rPr>
              <w:t>If the JSP is to assess future growth potential at the sub-county level, should it go on to test and then allocate broad areas or specific strategic sites for development?</w:t>
            </w:r>
          </w:p>
        </w:tc>
        <w:tc>
          <w:tcPr>
            <w:tcW w:w="2995" w:type="dxa"/>
            <w:shd w:val="clear" w:color="auto" w:fill="D9D9D9" w:themeFill="background1" w:themeFillShade="D9"/>
          </w:tcPr>
          <w:p w:rsidR="00C66E74" w:rsidRPr="00C66E74" w:rsidRDefault="00C66E74" w:rsidP="00FE5E2D">
            <w:pPr>
              <w:pStyle w:val="ListParagraph"/>
              <w:spacing w:before="120" w:after="120"/>
              <w:rPr>
                <w:rFonts w:eastAsia="Times New Roman"/>
                <w:b/>
                <w:bCs/>
                <w:iCs/>
                <w:sz w:val="20"/>
                <w:szCs w:val="20"/>
                <w:lang w:eastAsia="en-GB"/>
              </w:rPr>
            </w:pPr>
            <w:r w:rsidRPr="00C66E74">
              <w:rPr>
                <w:rFonts w:eastAsia="Times New Roman"/>
                <w:b/>
                <w:bCs/>
                <w:iCs/>
                <w:sz w:val="20"/>
                <w:szCs w:val="20"/>
                <w:lang w:eastAsia="en-GB"/>
              </w:rPr>
              <w:t>August 2018</w:t>
            </w:r>
          </w:p>
        </w:tc>
      </w:tr>
      <w:tr w:rsidR="00C66E74" w:rsidTr="00FD57A3">
        <w:tc>
          <w:tcPr>
            <w:tcW w:w="3009" w:type="dxa"/>
          </w:tcPr>
          <w:p w:rsidR="00C66E74" w:rsidRPr="00DF6146" w:rsidRDefault="00C66E74" w:rsidP="007F60E6">
            <w:pPr>
              <w:spacing w:before="120" w:after="120"/>
              <w:rPr>
                <w:rFonts w:eastAsia="Times New Roman"/>
                <w:bCs/>
                <w:iCs/>
                <w:sz w:val="20"/>
                <w:szCs w:val="20"/>
                <w:lang w:eastAsia="en-GB"/>
              </w:rPr>
            </w:pPr>
            <w:r w:rsidRPr="00B70E20">
              <w:rPr>
                <w:rFonts w:eastAsia="Times New Roman"/>
                <w:bCs/>
                <w:iCs/>
                <w:sz w:val="20"/>
                <w:szCs w:val="20"/>
                <w:lang w:eastAsia="en-GB"/>
              </w:rPr>
              <w:t>Testing and gathering of further evid</w:t>
            </w:r>
            <w:r w:rsidRPr="00DF6146">
              <w:rPr>
                <w:rFonts w:eastAsia="Times New Roman"/>
                <w:bCs/>
                <w:iCs/>
                <w:sz w:val="20"/>
                <w:szCs w:val="20"/>
                <w:lang w:eastAsia="en-GB"/>
              </w:rPr>
              <w:t>ence base</w:t>
            </w:r>
          </w:p>
        </w:tc>
        <w:tc>
          <w:tcPr>
            <w:tcW w:w="3238" w:type="dxa"/>
          </w:tcPr>
          <w:p w:rsidR="00C66E74" w:rsidRPr="00DF6146" w:rsidRDefault="00C66E74" w:rsidP="007F60E6">
            <w:pPr>
              <w:spacing w:before="120" w:after="120"/>
              <w:rPr>
                <w:rFonts w:eastAsia="Times New Roman"/>
                <w:bCs/>
                <w:iCs/>
                <w:sz w:val="20"/>
                <w:szCs w:val="20"/>
                <w:lang w:eastAsia="en-GB"/>
              </w:rPr>
            </w:pPr>
            <w:r w:rsidRPr="00DF6146">
              <w:rPr>
                <w:rFonts w:eastAsia="Times New Roman"/>
                <w:bCs/>
                <w:iCs/>
                <w:sz w:val="20"/>
                <w:szCs w:val="20"/>
                <w:lang w:eastAsia="en-GB"/>
              </w:rPr>
              <w:t xml:space="preserve">Option 1: </w:t>
            </w:r>
            <w:r w:rsidRPr="007824EF">
              <w:rPr>
                <w:rFonts w:eastAsia="Times New Roman"/>
                <w:bCs/>
                <w:iCs/>
                <w:sz w:val="20"/>
                <w:szCs w:val="20"/>
                <w:lang w:eastAsia="en-GB"/>
              </w:rPr>
              <w:t>Option 1: Exploration of generic spatial distribution options including: concentration; dispersal; continuation of exis</w:t>
            </w:r>
            <w:r>
              <w:rPr>
                <w:rFonts w:eastAsia="Times New Roman"/>
                <w:bCs/>
                <w:iCs/>
                <w:sz w:val="20"/>
                <w:szCs w:val="20"/>
                <w:lang w:eastAsia="en-GB"/>
              </w:rPr>
              <w:t xml:space="preserve">ting market towns strategy; , </w:t>
            </w:r>
            <w:r w:rsidRPr="007824EF">
              <w:rPr>
                <w:rFonts w:eastAsia="Times New Roman"/>
                <w:bCs/>
                <w:iCs/>
                <w:sz w:val="20"/>
                <w:szCs w:val="20"/>
                <w:lang w:eastAsia="en-GB"/>
              </w:rPr>
              <w:t>urban extensions; , new growth points;  freestanding new settlements etc.</w:t>
            </w:r>
          </w:p>
          <w:p w:rsidR="00C66E74" w:rsidRDefault="00C66E74" w:rsidP="00DD14B6">
            <w:pPr>
              <w:spacing w:before="120" w:after="120"/>
              <w:rPr>
                <w:rFonts w:eastAsia="Times New Roman"/>
                <w:bCs/>
                <w:iCs/>
                <w:sz w:val="20"/>
                <w:szCs w:val="20"/>
                <w:lang w:eastAsia="en-GB"/>
              </w:rPr>
            </w:pPr>
            <w:r w:rsidRPr="007824EF">
              <w:rPr>
                <w:rFonts w:eastAsia="Times New Roman"/>
                <w:bCs/>
                <w:iCs/>
                <w:sz w:val="20"/>
                <w:szCs w:val="20"/>
                <w:lang w:eastAsia="en-GB"/>
              </w:rPr>
              <w:t xml:space="preserve">Option 2: Additional level of detail, to include broad areas, or specific strategic sites for development. </w:t>
            </w:r>
          </w:p>
          <w:p w:rsidR="00C66E74" w:rsidRPr="00B70E20" w:rsidRDefault="00C66E74" w:rsidP="00DD14B6">
            <w:pPr>
              <w:spacing w:before="120" w:after="120"/>
              <w:rPr>
                <w:rFonts w:eastAsia="Times New Roman"/>
                <w:bCs/>
                <w:iCs/>
                <w:sz w:val="20"/>
                <w:szCs w:val="20"/>
                <w:lang w:eastAsia="en-GB"/>
              </w:rPr>
            </w:pPr>
            <w:r w:rsidRPr="00DD14B6">
              <w:rPr>
                <w:rFonts w:eastAsia="Times New Roman"/>
                <w:bCs/>
                <w:iCs/>
                <w:sz w:val="20"/>
                <w:szCs w:val="20"/>
                <w:lang w:eastAsia="en-GB"/>
              </w:rPr>
              <w:t>Both options require Para 46 work to assess capacity and constraints. Both relate to SEA process and include evidence like Strategic Flood Risk Assessment, call for sites and green belt assessment.</w:t>
            </w:r>
          </w:p>
        </w:tc>
        <w:tc>
          <w:tcPr>
            <w:tcW w:w="2995" w:type="dxa"/>
          </w:tcPr>
          <w:p w:rsidR="00C66E74" w:rsidRPr="00DF6146" w:rsidRDefault="00C66E74"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During Autumn 2018 to Spring 2019</w:t>
            </w:r>
          </w:p>
        </w:tc>
      </w:tr>
      <w:tr w:rsidR="00C66E74" w:rsidTr="00203FA8">
        <w:tc>
          <w:tcPr>
            <w:tcW w:w="3009" w:type="dxa"/>
            <w:tcBorders>
              <w:bottom w:val="single" w:sz="4" w:space="0" w:color="auto"/>
            </w:tcBorders>
          </w:tcPr>
          <w:p w:rsidR="00C66E74" w:rsidRPr="00B70E20" w:rsidRDefault="00C66E74" w:rsidP="00870870">
            <w:pPr>
              <w:spacing w:before="120" w:after="120"/>
              <w:rPr>
                <w:rFonts w:eastAsia="Times New Roman"/>
                <w:bCs/>
                <w:iCs/>
                <w:sz w:val="20"/>
                <w:szCs w:val="20"/>
                <w:lang w:eastAsia="en-GB"/>
              </w:rPr>
            </w:pPr>
            <w:r>
              <w:rPr>
                <w:rFonts w:eastAsia="Times New Roman"/>
                <w:bCs/>
                <w:iCs/>
                <w:sz w:val="20"/>
                <w:szCs w:val="20"/>
                <w:lang w:eastAsia="en-GB"/>
              </w:rPr>
              <w:t>Dependent upon the above decision. The d</w:t>
            </w:r>
            <w:r w:rsidRPr="00B70E20">
              <w:rPr>
                <w:rFonts w:eastAsia="Times New Roman"/>
                <w:bCs/>
                <w:iCs/>
                <w:sz w:val="20"/>
                <w:szCs w:val="20"/>
                <w:lang w:eastAsia="en-GB"/>
              </w:rPr>
              <w:t xml:space="preserve">evelopment of preferred  options (and if applicable allocations) and public consultation </w:t>
            </w:r>
          </w:p>
        </w:tc>
        <w:tc>
          <w:tcPr>
            <w:tcW w:w="3238" w:type="dxa"/>
            <w:tcBorders>
              <w:bottom w:val="single" w:sz="4" w:space="0" w:color="auto"/>
            </w:tcBorders>
          </w:tcPr>
          <w:p w:rsidR="00C66E74" w:rsidRPr="00EC076B" w:rsidRDefault="00C66E74" w:rsidP="00EC076B">
            <w:pPr>
              <w:spacing w:before="120" w:after="120"/>
              <w:rPr>
                <w:rFonts w:eastAsia="Times New Roman"/>
                <w:bCs/>
                <w:iCs/>
                <w:sz w:val="20"/>
                <w:szCs w:val="20"/>
                <w:lang w:eastAsia="en-GB"/>
              </w:rPr>
            </w:pPr>
            <w:r w:rsidRPr="00EC076B">
              <w:rPr>
                <w:rFonts w:eastAsia="Times New Roman"/>
                <w:bCs/>
                <w:iCs/>
                <w:sz w:val="20"/>
                <w:szCs w:val="20"/>
                <w:lang w:eastAsia="en-GB"/>
              </w:rPr>
              <w:t>The preparation of preferred options  including public consultation</w:t>
            </w:r>
          </w:p>
        </w:tc>
        <w:tc>
          <w:tcPr>
            <w:tcW w:w="2995" w:type="dxa"/>
            <w:tcBorders>
              <w:bottom w:val="single" w:sz="4" w:space="0" w:color="auto"/>
            </w:tcBorders>
          </w:tcPr>
          <w:p w:rsidR="00C66E74" w:rsidRPr="007A022B" w:rsidRDefault="00C66E74" w:rsidP="00FE5E2D">
            <w:pPr>
              <w:pStyle w:val="ListParagraph"/>
              <w:spacing w:before="120" w:after="120"/>
              <w:rPr>
                <w:rFonts w:eastAsia="Times New Roman"/>
                <w:bCs/>
                <w:iCs/>
                <w:sz w:val="20"/>
                <w:szCs w:val="20"/>
                <w:lang w:eastAsia="en-GB"/>
              </w:rPr>
            </w:pPr>
            <w:r w:rsidRPr="007A022B">
              <w:rPr>
                <w:rFonts w:eastAsia="Times New Roman"/>
                <w:bCs/>
                <w:iCs/>
                <w:sz w:val="20"/>
                <w:szCs w:val="20"/>
                <w:lang w:eastAsia="en-GB"/>
              </w:rPr>
              <w:t>Publish for consultation by May 2019</w:t>
            </w:r>
            <w:r>
              <w:rPr>
                <w:rFonts w:eastAsia="Times New Roman"/>
                <w:bCs/>
                <w:iCs/>
                <w:sz w:val="20"/>
                <w:szCs w:val="20"/>
                <w:lang w:eastAsia="en-GB"/>
              </w:rPr>
              <w:t>- complete August/September  2019</w:t>
            </w:r>
          </w:p>
        </w:tc>
      </w:tr>
      <w:tr w:rsidR="00E77670" w:rsidTr="00E77670">
        <w:tc>
          <w:tcPr>
            <w:tcW w:w="6247" w:type="dxa"/>
            <w:gridSpan w:val="2"/>
            <w:shd w:val="clear" w:color="auto" w:fill="D9D9D9" w:themeFill="background1" w:themeFillShade="D9"/>
          </w:tcPr>
          <w:p w:rsidR="00E77670" w:rsidRPr="007824EF" w:rsidRDefault="00E77670" w:rsidP="00ED5173">
            <w:pPr>
              <w:spacing w:before="120" w:after="120"/>
              <w:rPr>
                <w:rFonts w:eastAsia="Times New Roman"/>
                <w:b/>
                <w:bCs/>
                <w:iCs/>
                <w:sz w:val="20"/>
                <w:szCs w:val="20"/>
                <w:lang w:eastAsia="en-GB"/>
              </w:rPr>
            </w:pPr>
            <w:r w:rsidRPr="007824EF">
              <w:rPr>
                <w:rFonts w:eastAsia="Times New Roman"/>
                <w:b/>
                <w:bCs/>
                <w:iCs/>
                <w:sz w:val="20"/>
                <w:szCs w:val="20"/>
                <w:lang w:eastAsia="en-GB"/>
              </w:rPr>
              <w:t xml:space="preserve">Decision point 3 – </w:t>
            </w:r>
            <w:r>
              <w:rPr>
                <w:rFonts w:eastAsia="Times New Roman"/>
                <w:b/>
                <w:bCs/>
                <w:iCs/>
                <w:sz w:val="20"/>
                <w:szCs w:val="20"/>
                <w:lang w:eastAsia="en-GB"/>
              </w:rPr>
              <w:t>Should the J</w:t>
            </w:r>
            <w:r w:rsidRPr="007824EF">
              <w:rPr>
                <w:rFonts w:eastAsia="Times New Roman"/>
                <w:b/>
                <w:bCs/>
                <w:iCs/>
                <w:sz w:val="20"/>
                <w:szCs w:val="20"/>
                <w:lang w:eastAsia="en-GB"/>
              </w:rPr>
              <w:t xml:space="preserve">SP </w:t>
            </w:r>
            <w:r>
              <w:rPr>
                <w:rFonts w:eastAsia="Times New Roman"/>
                <w:b/>
                <w:bCs/>
                <w:iCs/>
                <w:sz w:val="20"/>
                <w:szCs w:val="20"/>
                <w:lang w:eastAsia="en-GB"/>
              </w:rPr>
              <w:t xml:space="preserve">be </w:t>
            </w:r>
            <w:r w:rsidRPr="007824EF">
              <w:rPr>
                <w:rFonts w:eastAsia="Times New Roman"/>
                <w:b/>
                <w:bCs/>
                <w:iCs/>
                <w:sz w:val="20"/>
                <w:szCs w:val="20"/>
                <w:lang w:eastAsia="en-GB"/>
              </w:rPr>
              <w:t>statutory or non-statutory</w:t>
            </w:r>
          </w:p>
        </w:tc>
        <w:tc>
          <w:tcPr>
            <w:tcW w:w="2995" w:type="dxa"/>
            <w:shd w:val="clear" w:color="auto" w:fill="D9D9D9" w:themeFill="background1" w:themeFillShade="D9"/>
          </w:tcPr>
          <w:p w:rsidR="00E77670" w:rsidRPr="00E77670" w:rsidRDefault="00E77670" w:rsidP="00C75E48">
            <w:pPr>
              <w:pStyle w:val="ListParagraph"/>
              <w:spacing w:before="120" w:after="120"/>
              <w:rPr>
                <w:rFonts w:eastAsia="Times New Roman"/>
                <w:b/>
                <w:bCs/>
                <w:iCs/>
                <w:sz w:val="20"/>
                <w:szCs w:val="20"/>
                <w:lang w:eastAsia="en-GB"/>
              </w:rPr>
            </w:pPr>
            <w:r w:rsidRPr="00E77670">
              <w:rPr>
                <w:rFonts w:eastAsia="Times New Roman"/>
                <w:b/>
                <w:bCs/>
                <w:iCs/>
                <w:sz w:val="20"/>
                <w:szCs w:val="20"/>
                <w:lang w:eastAsia="en-GB"/>
              </w:rPr>
              <w:t>July 2019</w:t>
            </w:r>
          </w:p>
        </w:tc>
      </w:tr>
      <w:tr w:rsidR="00E77670" w:rsidTr="00FD57A3">
        <w:tc>
          <w:tcPr>
            <w:tcW w:w="3009" w:type="dxa"/>
          </w:tcPr>
          <w:p w:rsidR="00E77670" w:rsidRPr="00DE1BCC" w:rsidRDefault="00E77670" w:rsidP="007F60E6">
            <w:pPr>
              <w:spacing w:before="120" w:after="120"/>
              <w:rPr>
                <w:rFonts w:eastAsia="Times New Roman"/>
                <w:bCs/>
                <w:iCs/>
                <w:sz w:val="20"/>
                <w:szCs w:val="20"/>
                <w:lang w:eastAsia="en-GB"/>
              </w:rPr>
            </w:pPr>
            <w:r w:rsidRPr="00DE1BCC">
              <w:rPr>
                <w:sz w:val="20"/>
                <w:szCs w:val="20"/>
              </w:rPr>
              <w:t>Review and revise  Statement of Common Ground (if necessary)</w:t>
            </w:r>
          </w:p>
        </w:tc>
        <w:tc>
          <w:tcPr>
            <w:tcW w:w="3238" w:type="dxa"/>
          </w:tcPr>
          <w:p w:rsidR="00E77670" w:rsidRPr="00DE1BCC" w:rsidRDefault="00E77670" w:rsidP="00F57323">
            <w:pPr>
              <w:spacing w:before="120" w:after="120"/>
              <w:rPr>
                <w:rFonts w:eastAsia="Times New Roman"/>
                <w:bCs/>
                <w:iCs/>
                <w:sz w:val="20"/>
                <w:szCs w:val="20"/>
                <w:lang w:eastAsia="en-GB"/>
              </w:rPr>
            </w:pPr>
            <w:r w:rsidRPr="00DE1BCC">
              <w:rPr>
                <w:sz w:val="20"/>
                <w:szCs w:val="20"/>
              </w:rPr>
              <w:t xml:space="preserve">A detailed SoCG to cover the next phase of JSP. For approval by the </w:t>
            </w:r>
            <w:r w:rsidR="00F57323">
              <w:rPr>
                <w:sz w:val="20"/>
                <w:szCs w:val="20"/>
              </w:rPr>
              <w:t>Oxfordshire Authorities</w:t>
            </w:r>
          </w:p>
        </w:tc>
        <w:tc>
          <w:tcPr>
            <w:tcW w:w="2995" w:type="dxa"/>
          </w:tcPr>
          <w:p w:rsidR="00E77670" w:rsidRDefault="00E77670" w:rsidP="00C75E48">
            <w:pPr>
              <w:pStyle w:val="ListParagraph"/>
              <w:spacing w:before="120" w:after="120"/>
              <w:rPr>
                <w:rFonts w:eastAsia="Times New Roman"/>
                <w:bCs/>
                <w:iCs/>
                <w:sz w:val="20"/>
                <w:szCs w:val="20"/>
                <w:lang w:eastAsia="en-GB"/>
              </w:rPr>
            </w:pPr>
          </w:p>
          <w:p w:rsidR="00E77670" w:rsidRPr="007A022B" w:rsidRDefault="00E77670" w:rsidP="00C75E48">
            <w:pPr>
              <w:pStyle w:val="ListParagraph"/>
              <w:spacing w:before="120" w:after="120"/>
              <w:rPr>
                <w:rFonts w:eastAsia="Times New Roman"/>
                <w:bCs/>
                <w:iCs/>
                <w:sz w:val="20"/>
                <w:szCs w:val="20"/>
                <w:lang w:eastAsia="en-GB"/>
              </w:rPr>
            </w:pPr>
            <w:r>
              <w:rPr>
                <w:rFonts w:eastAsia="Times New Roman"/>
                <w:bCs/>
                <w:iCs/>
                <w:sz w:val="20"/>
                <w:szCs w:val="20"/>
                <w:lang w:eastAsia="en-GB"/>
              </w:rPr>
              <w:t>Oct-Dec 2019</w:t>
            </w:r>
          </w:p>
        </w:tc>
      </w:tr>
      <w:tr w:rsidR="00E77670" w:rsidTr="00FD57A3">
        <w:tc>
          <w:tcPr>
            <w:tcW w:w="3009" w:type="dxa"/>
          </w:tcPr>
          <w:p w:rsidR="00E77670" w:rsidRPr="00B70E20" w:rsidRDefault="00E77670" w:rsidP="007F60E6">
            <w:pPr>
              <w:spacing w:before="120" w:after="120"/>
              <w:rPr>
                <w:rFonts w:eastAsia="Times New Roman"/>
                <w:bCs/>
                <w:iCs/>
                <w:sz w:val="20"/>
                <w:szCs w:val="20"/>
                <w:lang w:eastAsia="en-GB"/>
              </w:rPr>
            </w:pPr>
            <w:r w:rsidRPr="00B70E20">
              <w:rPr>
                <w:rFonts w:eastAsia="Times New Roman"/>
                <w:bCs/>
                <w:iCs/>
                <w:sz w:val="20"/>
                <w:szCs w:val="20"/>
                <w:lang w:eastAsia="en-GB"/>
              </w:rPr>
              <w:t xml:space="preserve">If statutory: Publication of draft Plan (Reg 19) and consultation </w:t>
            </w:r>
          </w:p>
        </w:tc>
        <w:tc>
          <w:tcPr>
            <w:tcW w:w="3238" w:type="dxa"/>
          </w:tcPr>
          <w:p w:rsidR="00E77670" w:rsidRPr="00DE1BCC" w:rsidRDefault="00E77670" w:rsidP="00DE1BCC">
            <w:pPr>
              <w:spacing w:before="120" w:after="120"/>
              <w:rPr>
                <w:rFonts w:eastAsia="Times New Roman"/>
                <w:bCs/>
                <w:iCs/>
                <w:sz w:val="20"/>
                <w:szCs w:val="20"/>
                <w:lang w:eastAsia="en-GB"/>
              </w:rPr>
            </w:pPr>
            <w:r w:rsidRPr="00DE1BCC">
              <w:rPr>
                <w:rFonts w:eastAsia="Times New Roman"/>
                <w:bCs/>
                <w:iCs/>
                <w:sz w:val="20"/>
                <w:szCs w:val="20"/>
                <w:lang w:eastAsia="en-GB"/>
              </w:rPr>
              <w:t>Consultation on submission plan required by Regulations</w:t>
            </w:r>
          </w:p>
        </w:tc>
        <w:tc>
          <w:tcPr>
            <w:tcW w:w="2995" w:type="dxa"/>
          </w:tcPr>
          <w:p w:rsidR="00E77670" w:rsidRPr="007A022B" w:rsidRDefault="00E77670" w:rsidP="00C75E48">
            <w:pPr>
              <w:pStyle w:val="ListParagraph"/>
              <w:spacing w:before="120" w:after="120"/>
              <w:rPr>
                <w:rFonts w:eastAsia="Times New Roman"/>
                <w:bCs/>
                <w:iCs/>
                <w:sz w:val="20"/>
                <w:szCs w:val="20"/>
                <w:lang w:eastAsia="en-GB"/>
              </w:rPr>
            </w:pPr>
            <w:r w:rsidRPr="007A022B">
              <w:rPr>
                <w:rFonts w:eastAsia="Times New Roman"/>
                <w:bCs/>
                <w:iCs/>
                <w:sz w:val="20"/>
                <w:szCs w:val="20"/>
                <w:lang w:eastAsia="en-GB"/>
              </w:rPr>
              <w:t>Consultation Jan 2020</w:t>
            </w:r>
          </w:p>
        </w:tc>
      </w:tr>
      <w:tr w:rsidR="00E77670" w:rsidTr="00FD57A3">
        <w:tc>
          <w:tcPr>
            <w:tcW w:w="3009" w:type="dxa"/>
          </w:tcPr>
          <w:p w:rsidR="00E77670" w:rsidRPr="00B70E20" w:rsidRDefault="00E77670" w:rsidP="007F60E6">
            <w:pPr>
              <w:spacing w:before="120" w:after="120"/>
              <w:rPr>
                <w:rFonts w:eastAsia="Times New Roman"/>
                <w:bCs/>
                <w:iCs/>
                <w:sz w:val="20"/>
                <w:szCs w:val="20"/>
                <w:lang w:eastAsia="en-GB"/>
              </w:rPr>
            </w:pPr>
            <w:r w:rsidRPr="00B70E20">
              <w:rPr>
                <w:rFonts w:eastAsia="Times New Roman"/>
                <w:bCs/>
                <w:iCs/>
                <w:sz w:val="20"/>
                <w:szCs w:val="20"/>
                <w:lang w:eastAsia="en-GB"/>
              </w:rPr>
              <w:t>If non-statutory: finalise plan and approve at Growth Board</w:t>
            </w:r>
          </w:p>
        </w:tc>
        <w:tc>
          <w:tcPr>
            <w:tcW w:w="3238" w:type="dxa"/>
          </w:tcPr>
          <w:p w:rsidR="00E77670" w:rsidRPr="00DF6146" w:rsidRDefault="00E77670" w:rsidP="00FE5E2D">
            <w:pPr>
              <w:pStyle w:val="ListParagraph"/>
              <w:spacing w:before="120" w:after="120"/>
              <w:rPr>
                <w:rFonts w:eastAsia="Times New Roman"/>
                <w:bCs/>
                <w:iCs/>
                <w:sz w:val="20"/>
                <w:szCs w:val="20"/>
                <w:lang w:eastAsia="en-GB"/>
              </w:rPr>
            </w:pPr>
          </w:p>
        </w:tc>
        <w:tc>
          <w:tcPr>
            <w:tcW w:w="2995" w:type="dxa"/>
          </w:tcPr>
          <w:p w:rsidR="00E77670" w:rsidRPr="00DF6146" w:rsidRDefault="00E77670"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Autumn/winter 2019</w:t>
            </w:r>
          </w:p>
        </w:tc>
      </w:tr>
      <w:tr w:rsidR="00E77670" w:rsidTr="00FD57A3">
        <w:tc>
          <w:tcPr>
            <w:tcW w:w="3009" w:type="dxa"/>
          </w:tcPr>
          <w:p w:rsidR="00E77670" w:rsidRPr="00B70E20" w:rsidRDefault="00E77670" w:rsidP="007F60E6">
            <w:pPr>
              <w:spacing w:before="120" w:after="120"/>
              <w:rPr>
                <w:rFonts w:eastAsia="Times New Roman"/>
                <w:bCs/>
                <w:iCs/>
                <w:sz w:val="20"/>
                <w:szCs w:val="20"/>
                <w:lang w:eastAsia="en-GB"/>
              </w:rPr>
            </w:pPr>
            <w:r w:rsidRPr="00B70E20">
              <w:rPr>
                <w:rFonts w:eastAsia="Times New Roman"/>
                <w:bCs/>
                <w:iCs/>
                <w:sz w:val="20"/>
                <w:szCs w:val="20"/>
                <w:lang w:eastAsia="en-GB"/>
              </w:rPr>
              <w:t>If statutory: submit plan to government</w:t>
            </w:r>
            <w:r>
              <w:rPr>
                <w:rFonts w:eastAsia="Times New Roman"/>
                <w:bCs/>
                <w:iCs/>
                <w:sz w:val="20"/>
                <w:szCs w:val="20"/>
                <w:lang w:eastAsia="en-GB"/>
              </w:rPr>
              <w:t xml:space="preserve"> for Examination</w:t>
            </w:r>
          </w:p>
        </w:tc>
        <w:tc>
          <w:tcPr>
            <w:tcW w:w="3238" w:type="dxa"/>
          </w:tcPr>
          <w:p w:rsidR="00E77670" w:rsidRPr="00DF6146" w:rsidRDefault="00E77670" w:rsidP="00FE5E2D">
            <w:pPr>
              <w:pStyle w:val="ListParagraph"/>
              <w:spacing w:before="120" w:after="120"/>
              <w:rPr>
                <w:rFonts w:eastAsia="Times New Roman"/>
                <w:bCs/>
                <w:iCs/>
                <w:sz w:val="22"/>
                <w:szCs w:val="22"/>
                <w:lang w:eastAsia="en-GB"/>
              </w:rPr>
            </w:pPr>
          </w:p>
        </w:tc>
        <w:tc>
          <w:tcPr>
            <w:tcW w:w="2995" w:type="dxa"/>
          </w:tcPr>
          <w:p w:rsidR="00E77670" w:rsidRPr="00DF6146" w:rsidRDefault="00E77670"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Spring 2020</w:t>
            </w:r>
          </w:p>
        </w:tc>
      </w:tr>
      <w:tr w:rsidR="00E77670" w:rsidTr="00FD57A3">
        <w:tc>
          <w:tcPr>
            <w:tcW w:w="3009" w:type="dxa"/>
          </w:tcPr>
          <w:p w:rsidR="00E77670" w:rsidRPr="00B70E20" w:rsidRDefault="00E77670" w:rsidP="007F60E6">
            <w:pPr>
              <w:spacing w:before="120" w:after="120"/>
              <w:rPr>
                <w:rFonts w:eastAsia="Times New Roman"/>
                <w:bCs/>
                <w:iCs/>
                <w:sz w:val="20"/>
                <w:szCs w:val="20"/>
                <w:lang w:eastAsia="en-GB"/>
              </w:rPr>
            </w:pPr>
            <w:r w:rsidRPr="00B70E20">
              <w:rPr>
                <w:rFonts w:eastAsia="Times New Roman"/>
                <w:bCs/>
                <w:iCs/>
                <w:sz w:val="20"/>
                <w:szCs w:val="20"/>
                <w:lang w:eastAsia="en-GB"/>
              </w:rPr>
              <w:t>If statutory: Public examination</w:t>
            </w:r>
          </w:p>
        </w:tc>
        <w:tc>
          <w:tcPr>
            <w:tcW w:w="3238" w:type="dxa"/>
          </w:tcPr>
          <w:p w:rsidR="00E77670" w:rsidRPr="00DF6146" w:rsidRDefault="00E77670" w:rsidP="00FE5E2D">
            <w:pPr>
              <w:pStyle w:val="ListParagraph"/>
              <w:spacing w:before="120" w:after="120"/>
              <w:rPr>
                <w:rFonts w:eastAsia="Times New Roman"/>
                <w:bCs/>
                <w:iCs/>
                <w:sz w:val="22"/>
                <w:szCs w:val="22"/>
                <w:lang w:eastAsia="en-GB"/>
              </w:rPr>
            </w:pPr>
          </w:p>
        </w:tc>
        <w:tc>
          <w:tcPr>
            <w:tcW w:w="2995" w:type="dxa"/>
          </w:tcPr>
          <w:p w:rsidR="00E77670" w:rsidRPr="00DF6146" w:rsidRDefault="00E77670"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Summer 2020</w:t>
            </w:r>
          </w:p>
        </w:tc>
      </w:tr>
      <w:tr w:rsidR="00E77670" w:rsidTr="00FD57A3">
        <w:tc>
          <w:tcPr>
            <w:tcW w:w="3009" w:type="dxa"/>
          </w:tcPr>
          <w:p w:rsidR="00E77670" w:rsidRPr="00B70E20" w:rsidRDefault="00E77670" w:rsidP="00F57323">
            <w:pPr>
              <w:spacing w:before="120" w:after="120"/>
              <w:rPr>
                <w:rFonts w:eastAsia="Times New Roman"/>
                <w:bCs/>
                <w:iCs/>
                <w:sz w:val="20"/>
                <w:szCs w:val="20"/>
                <w:lang w:eastAsia="en-GB"/>
              </w:rPr>
            </w:pPr>
            <w:r>
              <w:rPr>
                <w:rFonts w:eastAsia="Times New Roman"/>
                <w:bCs/>
                <w:iCs/>
                <w:sz w:val="20"/>
                <w:szCs w:val="20"/>
                <w:lang w:eastAsia="en-GB"/>
              </w:rPr>
              <w:t xml:space="preserve">If statutory: </w:t>
            </w:r>
            <w:r w:rsidRPr="00B70E20">
              <w:rPr>
                <w:rFonts w:eastAsia="Times New Roman"/>
                <w:bCs/>
                <w:iCs/>
                <w:sz w:val="20"/>
                <w:szCs w:val="20"/>
                <w:lang w:eastAsia="en-GB"/>
              </w:rPr>
              <w:t xml:space="preserve">Adoption by </w:t>
            </w:r>
            <w:r w:rsidR="00F57323">
              <w:rPr>
                <w:rFonts w:eastAsia="Times New Roman"/>
                <w:bCs/>
                <w:iCs/>
                <w:sz w:val="20"/>
                <w:szCs w:val="20"/>
                <w:lang w:eastAsia="en-GB"/>
              </w:rPr>
              <w:t xml:space="preserve"> Joint Planning Committee if one has been agreed </w:t>
            </w:r>
            <w:r>
              <w:rPr>
                <w:rFonts w:eastAsia="Times New Roman"/>
                <w:bCs/>
                <w:iCs/>
                <w:sz w:val="20"/>
                <w:szCs w:val="20"/>
                <w:lang w:eastAsia="en-GB"/>
              </w:rPr>
              <w:t>or individual authorities</w:t>
            </w:r>
            <w:r w:rsidRPr="00B70E20">
              <w:rPr>
                <w:rFonts w:eastAsia="Times New Roman"/>
                <w:bCs/>
                <w:iCs/>
                <w:sz w:val="20"/>
                <w:szCs w:val="20"/>
                <w:lang w:eastAsia="en-GB"/>
              </w:rPr>
              <w:t xml:space="preserve"> </w:t>
            </w:r>
          </w:p>
        </w:tc>
        <w:tc>
          <w:tcPr>
            <w:tcW w:w="3238" w:type="dxa"/>
          </w:tcPr>
          <w:p w:rsidR="00E77670" w:rsidRPr="00DF6146" w:rsidRDefault="00E77670" w:rsidP="00FE5E2D">
            <w:pPr>
              <w:pStyle w:val="ListParagraph"/>
              <w:spacing w:before="120" w:after="120"/>
              <w:rPr>
                <w:rFonts w:eastAsia="Times New Roman"/>
                <w:bCs/>
                <w:iCs/>
                <w:sz w:val="22"/>
                <w:szCs w:val="22"/>
                <w:lang w:eastAsia="en-GB"/>
              </w:rPr>
            </w:pPr>
          </w:p>
        </w:tc>
        <w:tc>
          <w:tcPr>
            <w:tcW w:w="2995" w:type="dxa"/>
          </w:tcPr>
          <w:p w:rsidR="00E77670" w:rsidRPr="00DF6146" w:rsidRDefault="00E77670" w:rsidP="00FE5E2D">
            <w:pPr>
              <w:pStyle w:val="ListParagraph"/>
              <w:spacing w:before="120" w:after="120"/>
              <w:rPr>
                <w:rFonts w:eastAsia="Times New Roman"/>
                <w:bCs/>
                <w:iCs/>
                <w:sz w:val="20"/>
                <w:szCs w:val="20"/>
                <w:lang w:eastAsia="en-GB"/>
              </w:rPr>
            </w:pPr>
            <w:r w:rsidRPr="00DF6146">
              <w:rPr>
                <w:rFonts w:eastAsia="Times New Roman"/>
                <w:bCs/>
                <w:iCs/>
                <w:sz w:val="20"/>
                <w:szCs w:val="20"/>
                <w:lang w:eastAsia="en-GB"/>
              </w:rPr>
              <w:t>End 2020</w:t>
            </w:r>
          </w:p>
        </w:tc>
      </w:tr>
    </w:tbl>
    <w:p w:rsidR="00996D39" w:rsidRPr="00996D39" w:rsidRDefault="00996D39" w:rsidP="00E1530B">
      <w:pPr>
        <w:spacing w:before="120" w:after="120"/>
        <w:rPr>
          <w:rFonts w:eastAsia="Times New Roman"/>
          <w:bCs/>
          <w:i/>
          <w:iCs/>
          <w:sz w:val="20"/>
          <w:szCs w:val="20"/>
          <w:lang w:eastAsia="en-GB"/>
        </w:rPr>
      </w:pPr>
      <w:r>
        <w:rPr>
          <w:rFonts w:eastAsia="Times New Roman" w:cs="Times New Roman"/>
          <w:i/>
          <w:sz w:val="20"/>
          <w:szCs w:val="20"/>
          <w:lang w:eastAsia="en-GB"/>
        </w:rPr>
        <w:t>*</w:t>
      </w:r>
      <w:r w:rsidRPr="00FB3183">
        <w:rPr>
          <w:rFonts w:eastAsia="Times New Roman" w:cs="Times New Roman"/>
          <w:i/>
          <w:sz w:val="20"/>
          <w:szCs w:val="20"/>
          <w:lang w:eastAsia="en-GB"/>
        </w:rPr>
        <w:t>The timeline for the project is based upon collective agreement through a joint committee if established for a statutory plan. If a statutory plan requires approval of individual Local Planning Authorities, timelines will need to be reviewed.</w:t>
      </w:r>
    </w:p>
    <w:p w:rsidR="00790766" w:rsidRPr="00F157D1" w:rsidRDefault="00F157D1" w:rsidP="00F157D1">
      <w:pPr>
        <w:spacing w:before="120" w:after="120"/>
        <w:rPr>
          <w:rFonts w:eastAsia="Times New Roman"/>
          <w:bCs/>
          <w:iCs/>
          <w:sz w:val="22"/>
          <w:szCs w:val="22"/>
          <w:lang w:eastAsia="en-GB"/>
        </w:rPr>
      </w:pPr>
      <w:r>
        <w:rPr>
          <w:rFonts w:eastAsia="Times New Roman"/>
          <w:bCs/>
          <w:iCs/>
          <w:sz w:val="22"/>
          <w:szCs w:val="22"/>
          <w:lang w:eastAsia="en-GB"/>
        </w:rPr>
        <w:t xml:space="preserve">17. </w:t>
      </w:r>
      <w:r w:rsidR="00790766" w:rsidRPr="00F157D1">
        <w:rPr>
          <w:rFonts w:eastAsia="Times New Roman"/>
          <w:bCs/>
          <w:iCs/>
          <w:sz w:val="22"/>
          <w:szCs w:val="22"/>
          <w:lang w:eastAsia="en-GB"/>
        </w:rPr>
        <w:t xml:space="preserve">The </w:t>
      </w:r>
      <w:r w:rsidR="00D277F6" w:rsidRPr="00F157D1">
        <w:rPr>
          <w:rFonts w:eastAsia="Times New Roman"/>
          <w:bCs/>
          <w:iCs/>
          <w:sz w:val="22"/>
          <w:szCs w:val="22"/>
          <w:lang w:eastAsia="en-GB"/>
        </w:rPr>
        <w:t>high-level</w:t>
      </w:r>
      <w:r w:rsidR="00790766" w:rsidRPr="00F157D1">
        <w:rPr>
          <w:rFonts w:eastAsia="Times New Roman"/>
          <w:bCs/>
          <w:iCs/>
          <w:sz w:val="22"/>
          <w:szCs w:val="22"/>
          <w:lang w:eastAsia="en-GB"/>
        </w:rPr>
        <w:t xml:space="preserve"> project plan would also be set out in a Local Development Scheme (LDS</w:t>
      </w:r>
      <w:r w:rsidR="00D277F6" w:rsidRPr="00F157D1">
        <w:rPr>
          <w:rFonts w:eastAsia="Times New Roman"/>
          <w:bCs/>
          <w:iCs/>
          <w:sz w:val="22"/>
          <w:szCs w:val="22"/>
          <w:lang w:eastAsia="en-GB"/>
        </w:rPr>
        <w:t xml:space="preserve">) </w:t>
      </w:r>
    </w:p>
    <w:p w:rsidR="007F60E6" w:rsidRDefault="007F60E6">
      <w:pPr>
        <w:rPr>
          <w:rFonts w:eastAsia="Times New Roman"/>
          <w:bCs/>
          <w:iCs/>
          <w:sz w:val="22"/>
          <w:szCs w:val="22"/>
          <w:lang w:eastAsia="en-GB"/>
        </w:rPr>
      </w:pPr>
      <w:r>
        <w:rPr>
          <w:rFonts w:eastAsia="Times New Roman"/>
          <w:bCs/>
          <w:iCs/>
          <w:sz w:val="22"/>
          <w:szCs w:val="22"/>
          <w:lang w:eastAsia="en-GB"/>
        </w:rPr>
        <w:br w:type="page"/>
      </w:r>
    </w:p>
    <w:p w:rsidR="00AA6DB1" w:rsidRPr="00FE5E2D" w:rsidRDefault="00AA6DB1" w:rsidP="00FE5E2D">
      <w:pPr>
        <w:keepNext/>
        <w:keepLines/>
        <w:spacing w:before="120" w:after="120"/>
        <w:outlineLvl w:val="1"/>
        <w:rPr>
          <w:rFonts w:eastAsiaTheme="majorEastAsia"/>
          <w:b/>
          <w:bCs/>
          <w:iCs/>
          <w:u w:val="single"/>
        </w:rPr>
      </w:pPr>
      <w:r w:rsidRPr="00FE5E2D">
        <w:rPr>
          <w:rFonts w:eastAsiaTheme="majorEastAsia"/>
          <w:b/>
          <w:bCs/>
          <w:iCs/>
          <w:u w:val="single"/>
        </w:rPr>
        <w:t>Planned Communication &amp; Consultation</w:t>
      </w:r>
    </w:p>
    <w:p w:rsidR="00AA6DB1" w:rsidRDefault="00AA6DB1" w:rsidP="00AA6DB1"/>
    <w:p w:rsidR="00AA6DB1" w:rsidRPr="007A022B" w:rsidRDefault="00AA6DB1" w:rsidP="00F157D1">
      <w:pPr>
        <w:pStyle w:val="ListParagraph"/>
        <w:numPr>
          <w:ilvl w:val="0"/>
          <w:numId w:val="48"/>
        </w:numPr>
        <w:rPr>
          <w:sz w:val="22"/>
          <w:szCs w:val="22"/>
        </w:rPr>
      </w:pPr>
      <w:r w:rsidRPr="007A022B">
        <w:rPr>
          <w:sz w:val="22"/>
          <w:szCs w:val="22"/>
        </w:rPr>
        <w:t xml:space="preserve">The </w:t>
      </w:r>
      <w:r w:rsidR="00D277F6" w:rsidRPr="007A022B">
        <w:rPr>
          <w:sz w:val="22"/>
          <w:szCs w:val="22"/>
        </w:rPr>
        <w:t>business case</w:t>
      </w:r>
      <w:r w:rsidRPr="007A022B">
        <w:rPr>
          <w:sz w:val="22"/>
          <w:szCs w:val="22"/>
        </w:rPr>
        <w:t xml:space="preserve"> proposes </w:t>
      </w:r>
      <w:r w:rsidR="00C16822">
        <w:rPr>
          <w:sz w:val="22"/>
          <w:szCs w:val="22"/>
        </w:rPr>
        <w:t>four</w:t>
      </w:r>
      <w:r w:rsidRPr="007A022B">
        <w:rPr>
          <w:sz w:val="22"/>
          <w:szCs w:val="22"/>
        </w:rPr>
        <w:t xml:space="preserve"> consultation</w:t>
      </w:r>
      <w:r w:rsidR="007A022B">
        <w:rPr>
          <w:sz w:val="22"/>
          <w:szCs w:val="22"/>
        </w:rPr>
        <w:t xml:space="preserve"> </w:t>
      </w:r>
      <w:r w:rsidRPr="007A022B">
        <w:rPr>
          <w:sz w:val="22"/>
          <w:szCs w:val="22"/>
        </w:rPr>
        <w:t>s</w:t>
      </w:r>
      <w:r w:rsidR="007A022B">
        <w:rPr>
          <w:sz w:val="22"/>
          <w:szCs w:val="22"/>
        </w:rPr>
        <w:t>tages</w:t>
      </w:r>
      <w:r w:rsidR="007A022B" w:rsidRPr="007A022B">
        <w:rPr>
          <w:sz w:val="22"/>
          <w:szCs w:val="22"/>
        </w:rPr>
        <w:t xml:space="preserve"> </w:t>
      </w:r>
    </w:p>
    <w:p w:rsidR="00C16822" w:rsidRDefault="00AA6DB1" w:rsidP="00790766">
      <w:pPr>
        <w:pStyle w:val="ListParagraph"/>
        <w:numPr>
          <w:ilvl w:val="1"/>
          <w:numId w:val="37"/>
        </w:numPr>
        <w:rPr>
          <w:sz w:val="22"/>
          <w:szCs w:val="22"/>
        </w:rPr>
      </w:pPr>
      <w:r w:rsidRPr="00203A41">
        <w:rPr>
          <w:sz w:val="22"/>
          <w:szCs w:val="22"/>
        </w:rPr>
        <w:t xml:space="preserve">The first </w:t>
      </w:r>
      <w:r w:rsidR="00C16822">
        <w:rPr>
          <w:sz w:val="22"/>
          <w:szCs w:val="22"/>
        </w:rPr>
        <w:t>is the scoping of evidence, in particular for the SEA</w:t>
      </w:r>
    </w:p>
    <w:p w:rsidR="00AA6DB1" w:rsidRPr="00203A41" w:rsidRDefault="00C16822" w:rsidP="00790766">
      <w:pPr>
        <w:pStyle w:val="ListParagraph"/>
        <w:numPr>
          <w:ilvl w:val="1"/>
          <w:numId w:val="37"/>
        </w:numPr>
        <w:rPr>
          <w:sz w:val="22"/>
          <w:szCs w:val="22"/>
        </w:rPr>
      </w:pPr>
      <w:r>
        <w:rPr>
          <w:sz w:val="22"/>
          <w:szCs w:val="22"/>
        </w:rPr>
        <w:t xml:space="preserve">The second would </w:t>
      </w:r>
      <w:r w:rsidR="007824EF">
        <w:rPr>
          <w:sz w:val="22"/>
          <w:szCs w:val="22"/>
        </w:rPr>
        <w:t xml:space="preserve">be </w:t>
      </w:r>
      <w:r>
        <w:rPr>
          <w:sz w:val="22"/>
          <w:szCs w:val="22"/>
        </w:rPr>
        <w:t>the</w:t>
      </w:r>
      <w:r w:rsidR="00AA6DB1" w:rsidRPr="00203A41">
        <w:rPr>
          <w:sz w:val="22"/>
          <w:szCs w:val="22"/>
        </w:rPr>
        <w:t xml:space="preserve"> consultation on issues and options</w:t>
      </w:r>
    </w:p>
    <w:p w:rsidR="00AA6DB1" w:rsidRPr="00FE5E2D" w:rsidRDefault="007824EF" w:rsidP="00790766">
      <w:pPr>
        <w:pStyle w:val="ListParagraph"/>
        <w:numPr>
          <w:ilvl w:val="1"/>
          <w:numId w:val="37"/>
        </w:numPr>
        <w:rPr>
          <w:sz w:val="22"/>
          <w:szCs w:val="22"/>
        </w:rPr>
      </w:pPr>
      <w:r>
        <w:rPr>
          <w:sz w:val="22"/>
          <w:szCs w:val="22"/>
        </w:rPr>
        <w:t>Dependent upon the route taken for the JSP, t</w:t>
      </w:r>
      <w:r w:rsidR="00AA6DB1" w:rsidRPr="00203A41">
        <w:rPr>
          <w:sz w:val="22"/>
          <w:szCs w:val="22"/>
        </w:rPr>
        <w:t xml:space="preserve">he </w:t>
      </w:r>
      <w:r w:rsidR="00C16822">
        <w:rPr>
          <w:sz w:val="22"/>
          <w:szCs w:val="22"/>
        </w:rPr>
        <w:t>third</w:t>
      </w:r>
      <w:r w:rsidR="00AA6DB1" w:rsidRPr="00203A41">
        <w:rPr>
          <w:sz w:val="22"/>
          <w:szCs w:val="22"/>
        </w:rPr>
        <w:t xml:space="preserve"> </w:t>
      </w:r>
      <w:r>
        <w:rPr>
          <w:sz w:val="22"/>
          <w:szCs w:val="22"/>
        </w:rPr>
        <w:t xml:space="preserve">would be carried out on </w:t>
      </w:r>
      <w:r w:rsidR="00AA6DB1" w:rsidRPr="00203A41">
        <w:rPr>
          <w:sz w:val="22"/>
          <w:szCs w:val="22"/>
        </w:rPr>
        <w:t>preferred options.</w:t>
      </w:r>
      <w:r w:rsidR="00790766">
        <w:rPr>
          <w:sz w:val="22"/>
          <w:szCs w:val="22"/>
        </w:rPr>
        <w:t xml:space="preserve"> </w:t>
      </w:r>
      <w:r w:rsidR="00AA6DB1" w:rsidRPr="00FE5E2D">
        <w:rPr>
          <w:sz w:val="22"/>
          <w:szCs w:val="22"/>
        </w:rPr>
        <w:t xml:space="preserve">If a decision </w:t>
      </w:r>
      <w:r w:rsidR="00D277F6" w:rsidRPr="00FE5E2D">
        <w:rPr>
          <w:sz w:val="22"/>
          <w:szCs w:val="22"/>
        </w:rPr>
        <w:t>were</w:t>
      </w:r>
      <w:r w:rsidR="00AA6DB1" w:rsidRPr="00FE5E2D">
        <w:rPr>
          <w:sz w:val="22"/>
          <w:szCs w:val="22"/>
        </w:rPr>
        <w:t xml:space="preserve"> taken </w:t>
      </w:r>
      <w:r w:rsidR="00D277F6">
        <w:rPr>
          <w:sz w:val="22"/>
          <w:szCs w:val="22"/>
        </w:rPr>
        <w:t xml:space="preserve">for the JSP </w:t>
      </w:r>
      <w:r w:rsidR="00AA6DB1" w:rsidRPr="00FE5E2D">
        <w:rPr>
          <w:sz w:val="22"/>
          <w:szCs w:val="22"/>
        </w:rPr>
        <w:t>to be a statutory plan</w:t>
      </w:r>
      <w:r w:rsidR="00D277F6">
        <w:rPr>
          <w:sz w:val="22"/>
          <w:szCs w:val="22"/>
        </w:rPr>
        <w:t>,</w:t>
      </w:r>
      <w:r w:rsidR="00AA6DB1" w:rsidRPr="00FE5E2D">
        <w:rPr>
          <w:sz w:val="22"/>
          <w:szCs w:val="22"/>
        </w:rPr>
        <w:t xml:space="preserve"> then these </w:t>
      </w:r>
      <w:r w:rsidR="00D277F6" w:rsidRPr="00FE5E2D">
        <w:rPr>
          <w:sz w:val="22"/>
          <w:szCs w:val="22"/>
        </w:rPr>
        <w:t>two</w:t>
      </w:r>
      <w:r w:rsidR="00AA6DB1" w:rsidRPr="00FE5E2D">
        <w:rPr>
          <w:sz w:val="22"/>
          <w:szCs w:val="22"/>
        </w:rPr>
        <w:t xml:space="preserve"> rounds of consultation would be Regulation 18 consultations</w:t>
      </w:r>
      <w:r w:rsidR="007A022B">
        <w:rPr>
          <w:sz w:val="22"/>
          <w:szCs w:val="22"/>
        </w:rPr>
        <w:t xml:space="preserve"> in accordance with the Development Plan Regulations 2012</w:t>
      </w:r>
      <w:r w:rsidR="00AA6DB1" w:rsidRPr="00FE5E2D">
        <w:rPr>
          <w:sz w:val="22"/>
          <w:szCs w:val="22"/>
        </w:rPr>
        <w:t>.</w:t>
      </w:r>
    </w:p>
    <w:p w:rsidR="00AA6DB1" w:rsidRDefault="00AA6DB1" w:rsidP="00AA6DB1">
      <w:pPr>
        <w:pStyle w:val="ListParagraph"/>
        <w:numPr>
          <w:ilvl w:val="1"/>
          <w:numId w:val="37"/>
        </w:numPr>
        <w:rPr>
          <w:sz w:val="22"/>
          <w:szCs w:val="22"/>
        </w:rPr>
      </w:pPr>
      <w:r w:rsidRPr="00790766">
        <w:rPr>
          <w:sz w:val="22"/>
          <w:szCs w:val="22"/>
        </w:rPr>
        <w:t xml:space="preserve">The </w:t>
      </w:r>
      <w:r w:rsidR="00DE1BCC">
        <w:rPr>
          <w:sz w:val="22"/>
          <w:szCs w:val="22"/>
        </w:rPr>
        <w:t>fourth</w:t>
      </w:r>
      <w:r w:rsidRPr="00790766">
        <w:rPr>
          <w:sz w:val="22"/>
          <w:szCs w:val="22"/>
        </w:rPr>
        <w:t xml:space="preserve"> stage</w:t>
      </w:r>
      <w:r w:rsidR="00790766" w:rsidRPr="00790766">
        <w:rPr>
          <w:sz w:val="22"/>
          <w:szCs w:val="22"/>
        </w:rPr>
        <w:t xml:space="preserve"> would only be required i</w:t>
      </w:r>
      <w:r w:rsidR="00210259">
        <w:rPr>
          <w:sz w:val="22"/>
          <w:szCs w:val="22"/>
        </w:rPr>
        <w:t>f</w:t>
      </w:r>
      <w:r w:rsidR="00790766" w:rsidRPr="00790766">
        <w:rPr>
          <w:sz w:val="22"/>
          <w:szCs w:val="22"/>
        </w:rPr>
        <w:t xml:space="preserve"> the JSP were to be a statutory plan and would be </w:t>
      </w:r>
      <w:r w:rsidRPr="00790766">
        <w:rPr>
          <w:sz w:val="22"/>
          <w:szCs w:val="22"/>
        </w:rPr>
        <w:t xml:space="preserve">the final </w:t>
      </w:r>
      <w:r w:rsidR="002E68F7" w:rsidRPr="00790766">
        <w:rPr>
          <w:sz w:val="22"/>
          <w:szCs w:val="22"/>
        </w:rPr>
        <w:t xml:space="preserve">Regulation 19 </w:t>
      </w:r>
      <w:r w:rsidRPr="00790766">
        <w:rPr>
          <w:sz w:val="22"/>
          <w:szCs w:val="22"/>
        </w:rPr>
        <w:t xml:space="preserve">public consultation before the Joint Spatial Plan is submitted to the Planning Inspectorate for examination. </w:t>
      </w:r>
    </w:p>
    <w:p w:rsidR="00790766" w:rsidRPr="00790766" w:rsidRDefault="00790766" w:rsidP="00790766">
      <w:pPr>
        <w:pStyle w:val="ListParagraph"/>
        <w:rPr>
          <w:sz w:val="22"/>
          <w:szCs w:val="22"/>
        </w:rPr>
      </w:pPr>
    </w:p>
    <w:p w:rsidR="00AA6DB1" w:rsidRDefault="00AA6DB1" w:rsidP="00F157D1">
      <w:pPr>
        <w:pStyle w:val="ListParagraph"/>
        <w:numPr>
          <w:ilvl w:val="0"/>
          <w:numId w:val="48"/>
        </w:numPr>
        <w:rPr>
          <w:sz w:val="22"/>
          <w:szCs w:val="22"/>
        </w:rPr>
      </w:pPr>
      <w:r w:rsidRPr="00FE5E2D">
        <w:rPr>
          <w:sz w:val="22"/>
          <w:szCs w:val="22"/>
        </w:rPr>
        <w:t xml:space="preserve">The detailed consultation plan </w:t>
      </w:r>
      <w:r w:rsidR="000826C7">
        <w:rPr>
          <w:sz w:val="22"/>
          <w:szCs w:val="22"/>
        </w:rPr>
        <w:t xml:space="preserve">for the JSP </w:t>
      </w:r>
      <w:r w:rsidRPr="00FE5E2D">
        <w:rPr>
          <w:sz w:val="22"/>
          <w:szCs w:val="22"/>
        </w:rPr>
        <w:t xml:space="preserve">will be prepared and published as a Statement of Community Involvement (SCI) </w:t>
      </w:r>
      <w:r w:rsidR="001D6099">
        <w:rPr>
          <w:sz w:val="22"/>
          <w:szCs w:val="22"/>
        </w:rPr>
        <w:t xml:space="preserve">alongside a </w:t>
      </w:r>
      <w:r w:rsidR="00B84A26">
        <w:rPr>
          <w:sz w:val="22"/>
          <w:szCs w:val="22"/>
        </w:rPr>
        <w:t xml:space="preserve">Statement of Common Ground </w:t>
      </w:r>
      <w:r w:rsidR="001D6099">
        <w:rPr>
          <w:sz w:val="22"/>
          <w:szCs w:val="22"/>
        </w:rPr>
        <w:t xml:space="preserve">during the early stages of </w:t>
      </w:r>
      <w:r w:rsidRPr="00FE5E2D">
        <w:rPr>
          <w:sz w:val="22"/>
          <w:szCs w:val="22"/>
        </w:rPr>
        <w:t>the project</w:t>
      </w:r>
      <w:r w:rsidR="00790766">
        <w:rPr>
          <w:sz w:val="22"/>
          <w:szCs w:val="22"/>
        </w:rPr>
        <w:t>.</w:t>
      </w:r>
      <w:r w:rsidR="000826C7">
        <w:rPr>
          <w:sz w:val="22"/>
          <w:szCs w:val="22"/>
        </w:rPr>
        <w:t xml:space="preserve"> This will be subject to review at key decision points in the project.</w:t>
      </w:r>
    </w:p>
    <w:p w:rsidR="00790766" w:rsidRPr="00FE5E2D" w:rsidRDefault="00790766" w:rsidP="00790766">
      <w:pPr>
        <w:pStyle w:val="ListParagraph"/>
        <w:rPr>
          <w:sz w:val="22"/>
          <w:szCs w:val="22"/>
        </w:rPr>
      </w:pPr>
    </w:p>
    <w:p w:rsidR="00C11DB7" w:rsidRDefault="00C11DB7" w:rsidP="00F157D1">
      <w:pPr>
        <w:pStyle w:val="ListParagraph"/>
        <w:keepNext/>
        <w:keepLines/>
        <w:numPr>
          <w:ilvl w:val="0"/>
          <w:numId w:val="48"/>
        </w:numPr>
        <w:spacing w:before="120" w:after="120"/>
        <w:outlineLvl w:val="1"/>
        <w:rPr>
          <w:rFonts w:eastAsiaTheme="majorEastAsia"/>
          <w:bCs/>
          <w:iCs/>
          <w:sz w:val="22"/>
          <w:szCs w:val="22"/>
        </w:rPr>
      </w:pPr>
      <w:r>
        <w:rPr>
          <w:rFonts w:eastAsiaTheme="majorEastAsia"/>
          <w:bCs/>
          <w:iCs/>
          <w:sz w:val="22"/>
          <w:szCs w:val="22"/>
        </w:rPr>
        <w:t xml:space="preserve">Alongside </w:t>
      </w:r>
      <w:r w:rsidR="00D277F6">
        <w:rPr>
          <w:rFonts w:eastAsiaTheme="majorEastAsia"/>
          <w:bCs/>
          <w:iCs/>
          <w:sz w:val="22"/>
          <w:szCs w:val="22"/>
        </w:rPr>
        <w:t>this,</w:t>
      </w:r>
      <w:r>
        <w:rPr>
          <w:rFonts w:eastAsiaTheme="majorEastAsia"/>
          <w:bCs/>
          <w:iCs/>
          <w:sz w:val="22"/>
          <w:szCs w:val="22"/>
        </w:rPr>
        <w:t xml:space="preserve"> the business case proposes that </w:t>
      </w:r>
      <w:r w:rsidR="00DE1BCC">
        <w:rPr>
          <w:rFonts w:eastAsiaTheme="majorEastAsia"/>
          <w:bCs/>
          <w:iCs/>
          <w:sz w:val="22"/>
          <w:szCs w:val="22"/>
        </w:rPr>
        <w:t xml:space="preserve">we develop </w:t>
      </w:r>
      <w:r>
        <w:rPr>
          <w:rFonts w:eastAsiaTheme="majorEastAsia"/>
          <w:bCs/>
          <w:iCs/>
          <w:sz w:val="22"/>
          <w:szCs w:val="22"/>
        </w:rPr>
        <w:t xml:space="preserve">a comprehensive communications </w:t>
      </w:r>
      <w:r w:rsidR="00DE1BCC">
        <w:rPr>
          <w:rFonts w:eastAsiaTheme="majorEastAsia"/>
          <w:bCs/>
          <w:iCs/>
          <w:sz w:val="22"/>
          <w:szCs w:val="22"/>
        </w:rPr>
        <w:t>plan for</w:t>
      </w:r>
      <w:r>
        <w:rPr>
          <w:rFonts w:eastAsiaTheme="majorEastAsia"/>
          <w:bCs/>
          <w:iCs/>
          <w:sz w:val="22"/>
          <w:szCs w:val="22"/>
        </w:rPr>
        <w:t xml:space="preserve"> the project covering matters </w:t>
      </w:r>
      <w:r w:rsidR="000826C7">
        <w:rPr>
          <w:rFonts w:eastAsiaTheme="majorEastAsia"/>
          <w:bCs/>
          <w:iCs/>
          <w:sz w:val="22"/>
          <w:szCs w:val="22"/>
        </w:rPr>
        <w:t xml:space="preserve">such </w:t>
      </w:r>
      <w:r>
        <w:rPr>
          <w:rFonts w:eastAsiaTheme="majorEastAsia"/>
          <w:bCs/>
          <w:iCs/>
          <w:sz w:val="22"/>
          <w:szCs w:val="22"/>
        </w:rPr>
        <w:t xml:space="preserve">as </w:t>
      </w:r>
      <w:r w:rsidR="00EB000B">
        <w:rPr>
          <w:rFonts w:eastAsiaTheme="majorEastAsia"/>
          <w:bCs/>
          <w:iCs/>
          <w:sz w:val="22"/>
          <w:szCs w:val="22"/>
        </w:rPr>
        <w:t xml:space="preserve">formal </w:t>
      </w:r>
      <w:r>
        <w:rPr>
          <w:rFonts w:eastAsiaTheme="majorEastAsia"/>
          <w:bCs/>
          <w:iCs/>
          <w:sz w:val="22"/>
          <w:szCs w:val="22"/>
        </w:rPr>
        <w:t xml:space="preserve">public </w:t>
      </w:r>
      <w:r w:rsidR="007A022B">
        <w:rPr>
          <w:rFonts w:eastAsiaTheme="majorEastAsia"/>
          <w:bCs/>
          <w:iCs/>
          <w:sz w:val="22"/>
          <w:szCs w:val="22"/>
        </w:rPr>
        <w:t xml:space="preserve">engagement </w:t>
      </w:r>
      <w:r>
        <w:rPr>
          <w:rFonts w:eastAsiaTheme="majorEastAsia"/>
          <w:bCs/>
          <w:iCs/>
          <w:sz w:val="22"/>
          <w:szCs w:val="22"/>
        </w:rPr>
        <w:t xml:space="preserve">and </w:t>
      </w:r>
      <w:r w:rsidR="00EB000B">
        <w:rPr>
          <w:rFonts w:eastAsiaTheme="majorEastAsia"/>
          <w:bCs/>
          <w:iCs/>
          <w:sz w:val="22"/>
          <w:szCs w:val="22"/>
        </w:rPr>
        <w:t xml:space="preserve">social </w:t>
      </w:r>
      <w:r>
        <w:rPr>
          <w:rFonts w:eastAsiaTheme="majorEastAsia"/>
          <w:bCs/>
          <w:iCs/>
          <w:sz w:val="22"/>
          <w:szCs w:val="22"/>
        </w:rPr>
        <w:t>media</w:t>
      </w:r>
      <w:r w:rsidR="00EB000B">
        <w:rPr>
          <w:rFonts w:eastAsiaTheme="majorEastAsia"/>
          <w:bCs/>
          <w:iCs/>
          <w:sz w:val="22"/>
          <w:szCs w:val="22"/>
        </w:rPr>
        <w:t xml:space="preserve"> </w:t>
      </w:r>
      <w:r w:rsidR="00E02A22">
        <w:rPr>
          <w:rFonts w:eastAsiaTheme="majorEastAsia"/>
          <w:bCs/>
          <w:iCs/>
          <w:sz w:val="22"/>
          <w:szCs w:val="22"/>
        </w:rPr>
        <w:t>strategies.</w:t>
      </w:r>
      <w:r w:rsidR="00C16822" w:rsidRPr="00C16822">
        <w:t xml:space="preserve"> </w:t>
      </w:r>
      <w:r w:rsidR="001A3134">
        <w:t xml:space="preserve"> </w:t>
      </w:r>
      <w:r w:rsidR="00C16822" w:rsidRPr="00C16822">
        <w:rPr>
          <w:rFonts w:eastAsiaTheme="majorEastAsia"/>
          <w:bCs/>
          <w:iCs/>
          <w:sz w:val="22"/>
          <w:szCs w:val="22"/>
        </w:rPr>
        <w:t>The key stages of which would need to be included within the SCI</w:t>
      </w:r>
      <w:r w:rsidR="00292803">
        <w:rPr>
          <w:rFonts w:eastAsiaTheme="majorEastAsia"/>
          <w:bCs/>
          <w:iCs/>
          <w:sz w:val="22"/>
          <w:szCs w:val="22"/>
        </w:rPr>
        <w:t>.</w:t>
      </w:r>
    </w:p>
    <w:p w:rsidR="00292803" w:rsidRPr="00292803" w:rsidRDefault="00292803" w:rsidP="00292803">
      <w:pPr>
        <w:pStyle w:val="ListParagraph"/>
        <w:rPr>
          <w:rFonts w:eastAsiaTheme="majorEastAsia"/>
          <w:bCs/>
          <w:iCs/>
          <w:sz w:val="22"/>
          <w:szCs w:val="22"/>
        </w:rPr>
      </w:pPr>
    </w:p>
    <w:p w:rsidR="004E21B8" w:rsidRDefault="004E21B8" w:rsidP="004E21B8">
      <w:pPr>
        <w:pStyle w:val="ListParagraph"/>
        <w:keepNext/>
        <w:keepLines/>
        <w:numPr>
          <w:ilvl w:val="0"/>
          <w:numId w:val="48"/>
        </w:numPr>
        <w:spacing w:before="120" w:after="120"/>
        <w:outlineLvl w:val="1"/>
        <w:rPr>
          <w:rFonts w:eastAsiaTheme="majorEastAsia"/>
          <w:bCs/>
          <w:iCs/>
          <w:sz w:val="22"/>
          <w:szCs w:val="22"/>
        </w:rPr>
      </w:pPr>
      <w:r w:rsidRPr="00FE5E2D">
        <w:rPr>
          <w:rFonts w:eastAsiaTheme="majorEastAsia"/>
          <w:bCs/>
          <w:iCs/>
          <w:sz w:val="22"/>
          <w:szCs w:val="22"/>
        </w:rPr>
        <w:t xml:space="preserve">Communication on progress with the project will be via reports </w:t>
      </w:r>
      <w:r>
        <w:rPr>
          <w:rFonts w:eastAsiaTheme="majorEastAsia"/>
          <w:bCs/>
          <w:iCs/>
          <w:sz w:val="22"/>
          <w:szCs w:val="22"/>
        </w:rPr>
        <w:t>from the steering group to the Growth Board and EOG.</w:t>
      </w:r>
      <w:r w:rsidRPr="00FE5E2D">
        <w:rPr>
          <w:rFonts w:eastAsiaTheme="majorEastAsia"/>
          <w:bCs/>
          <w:iCs/>
          <w:sz w:val="22"/>
          <w:szCs w:val="22"/>
        </w:rPr>
        <w:t xml:space="preserve"> </w:t>
      </w:r>
      <w:r w:rsidR="007C20DE">
        <w:rPr>
          <w:rFonts w:eastAsiaTheme="majorEastAsia"/>
          <w:bCs/>
          <w:iCs/>
          <w:sz w:val="22"/>
          <w:szCs w:val="22"/>
        </w:rPr>
        <w:t xml:space="preserve"> </w:t>
      </w:r>
      <w:r w:rsidRPr="00FE5E2D">
        <w:rPr>
          <w:rFonts w:eastAsiaTheme="majorEastAsia"/>
          <w:bCs/>
          <w:iCs/>
          <w:sz w:val="22"/>
          <w:szCs w:val="22"/>
        </w:rPr>
        <w:t>All ad-hoc communication will be governed by a Communications Protocol between the Councils, prepared at the outset of the project and designed to ensure consistency of message across partners.</w:t>
      </w:r>
    </w:p>
    <w:p w:rsidR="004E21B8" w:rsidRPr="004E21B8" w:rsidRDefault="004E21B8" w:rsidP="004E21B8">
      <w:pPr>
        <w:pStyle w:val="ListParagraph"/>
        <w:rPr>
          <w:rFonts w:eastAsiaTheme="majorEastAsia"/>
          <w:bCs/>
          <w:iCs/>
          <w:sz w:val="22"/>
          <w:szCs w:val="22"/>
        </w:rPr>
      </w:pPr>
    </w:p>
    <w:p w:rsidR="00292803" w:rsidRDefault="00292803" w:rsidP="00292803">
      <w:pPr>
        <w:pStyle w:val="ListParagraph"/>
        <w:numPr>
          <w:ilvl w:val="0"/>
          <w:numId w:val="48"/>
        </w:numPr>
        <w:rPr>
          <w:rFonts w:eastAsiaTheme="majorEastAsia"/>
          <w:bCs/>
          <w:iCs/>
          <w:sz w:val="22"/>
          <w:szCs w:val="22"/>
        </w:rPr>
      </w:pPr>
      <w:r w:rsidRPr="00C16822">
        <w:rPr>
          <w:rFonts w:eastAsiaTheme="majorEastAsia"/>
          <w:bCs/>
          <w:iCs/>
          <w:sz w:val="22"/>
          <w:szCs w:val="22"/>
        </w:rPr>
        <w:t xml:space="preserve">A dedicated website would be needed and publicity for the stages and public ability to attend meetings. </w:t>
      </w:r>
      <w:r>
        <w:rPr>
          <w:rFonts w:eastAsiaTheme="majorEastAsia"/>
          <w:bCs/>
          <w:iCs/>
          <w:sz w:val="22"/>
          <w:szCs w:val="22"/>
        </w:rPr>
        <w:t xml:space="preserve"> </w:t>
      </w:r>
      <w:r w:rsidRPr="00C16822">
        <w:rPr>
          <w:rFonts w:eastAsiaTheme="majorEastAsia"/>
          <w:bCs/>
          <w:iCs/>
          <w:sz w:val="22"/>
          <w:szCs w:val="22"/>
        </w:rPr>
        <w:t xml:space="preserve">The SCI will need to set out </w:t>
      </w:r>
      <w:r>
        <w:rPr>
          <w:rFonts w:eastAsiaTheme="majorEastAsia"/>
          <w:bCs/>
          <w:iCs/>
          <w:sz w:val="22"/>
          <w:szCs w:val="22"/>
        </w:rPr>
        <w:t xml:space="preserve">clearly </w:t>
      </w:r>
      <w:r w:rsidRPr="00C16822">
        <w:rPr>
          <w:rFonts w:eastAsiaTheme="majorEastAsia"/>
          <w:bCs/>
          <w:iCs/>
          <w:sz w:val="22"/>
          <w:szCs w:val="22"/>
        </w:rPr>
        <w:t>how the co</w:t>
      </w:r>
      <w:r>
        <w:rPr>
          <w:rFonts w:eastAsiaTheme="majorEastAsia"/>
          <w:bCs/>
          <w:iCs/>
          <w:sz w:val="22"/>
          <w:szCs w:val="22"/>
        </w:rPr>
        <w:t>mmunity, site promoters,</w:t>
      </w:r>
      <w:r w:rsidRPr="00C16822">
        <w:rPr>
          <w:rFonts w:eastAsiaTheme="majorEastAsia"/>
          <w:bCs/>
          <w:iCs/>
          <w:sz w:val="22"/>
          <w:szCs w:val="22"/>
        </w:rPr>
        <w:t xml:space="preserve"> developers</w:t>
      </w:r>
      <w:r>
        <w:rPr>
          <w:rFonts w:eastAsiaTheme="majorEastAsia"/>
          <w:bCs/>
          <w:iCs/>
          <w:sz w:val="22"/>
          <w:szCs w:val="22"/>
        </w:rPr>
        <w:t xml:space="preserve"> and any other stakeholders</w:t>
      </w:r>
      <w:r w:rsidRPr="00C16822">
        <w:rPr>
          <w:rFonts w:eastAsiaTheme="majorEastAsia"/>
          <w:bCs/>
          <w:iCs/>
          <w:sz w:val="22"/>
          <w:szCs w:val="22"/>
        </w:rPr>
        <w:t xml:space="preserve"> are to be engaged and involved in </w:t>
      </w:r>
      <w:r>
        <w:rPr>
          <w:rFonts w:eastAsiaTheme="majorEastAsia"/>
          <w:bCs/>
          <w:iCs/>
          <w:sz w:val="22"/>
          <w:szCs w:val="22"/>
        </w:rPr>
        <w:t>developing the JSP</w:t>
      </w:r>
      <w:r w:rsidRPr="00C16822">
        <w:rPr>
          <w:rFonts w:eastAsiaTheme="majorEastAsia"/>
          <w:bCs/>
          <w:iCs/>
          <w:sz w:val="22"/>
          <w:szCs w:val="22"/>
        </w:rPr>
        <w:t>.</w:t>
      </w:r>
    </w:p>
    <w:p w:rsidR="00AA6DB1" w:rsidRDefault="00AA6DB1" w:rsidP="00FE2919">
      <w:pPr>
        <w:spacing w:before="120" w:after="120"/>
        <w:rPr>
          <w:rFonts w:eastAsia="Times New Roman"/>
          <w:bCs/>
          <w:iCs/>
          <w:sz w:val="22"/>
          <w:szCs w:val="22"/>
          <w:lang w:eastAsia="en-GB"/>
        </w:rPr>
      </w:pPr>
    </w:p>
    <w:p w:rsidR="008427A0" w:rsidRPr="00FE5E2D" w:rsidRDefault="008427A0" w:rsidP="00FE5E2D">
      <w:pPr>
        <w:keepNext/>
        <w:keepLines/>
        <w:spacing w:before="120" w:after="120"/>
        <w:outlineLvl w:val="1"/>
        <w:rPr>
          <w:rFonts w:eastAsiaTheme="majorEastAsia"/>
          <w:b/>
          <w:bCs/>
          <w:iCs/>
          <w:u w:val="single"/>
        </w:rPr>
      </w:pPr>
      <w:r w:rsidRPr="00FE5E2D">
        <w:rPr>
          <w:rFonts w:eastAsiaTheme="majorEastAsia"/>
          <w:b/>
          <w:bCs/>
          <w:iCs/>
          <w:u w:val="single"/>
        </w:rPr>
        <w:t>Project Governance</w:t>
      </w:r>
    </w:p>
    <w:p w:rsidR="00325A9B" w:rsidRDefault="00325A9B" w:rsidP="00797E65">
      <w:pPr>
        <w:pStyle w:val="ListParagraph"/>
        <w:keepNext/>
        <w:keepLines/>
        <w:spacing w:before="120" w:after="120"/>
        <w:ind w:left="0"/>
        <w:outlineLvl w:val="1"/>
        <w:rPr>
          <w:rFonts w:eastAsiaTheme="majorEastAsia"/>
          <w:bCs/>
          <w:iCs/>
          <w:sz w:val="22"/>
          <w:szCs w:val="22"/>
        </w:rPr>
      </w:pPr>
    </w:p>
    <w:p w:rsidR="004806A4" w:rsidRDefault="004806A4" w:rsidP="00F157D1">
      <w:pPr>
        <w:pStyle w:val="ListParagraph"/>
        <w:numPr>
          <w:ilvl w:val="0"/>
          <w:numId w:val="48"/>
        </w:numPr>
        <w:rPr>
          <w:rFonts w:eastAsiaTheme="majorEastAsia"/>
          <w:bCs/>
          <w:iCs/>
          <w:sz w:val="22"/>
          <w:szCs w:val="22"/>
        </w:rPr>
      </w:pPr>
      <w:r>
        <w:rPr>
          <w:rFonts w:eastAsiaTheme="majorEastAsia"/>
          <w:bCs/>
          <w:iCs/>
          <w:sz w:val="22"/>
          <w:szCs w:val="22"/>
        </w:rPr>
        <w:t>All partners note that oversight of the JSP project plan is essential to the project.</w:t>
      </w:r>
    </w:p>
    <w:p w:rsidR="00DF7081" w:rsidRDefault="00DF7081" w:rsidP="00DF7081">
      <w:pPr>
        <w:pStyle w:val="ListParagraph"/>
        <w:ind w:left="360"/>
        <w:rPr>
          <w:rFonts w:eastAsiaTheme="majorEastAsia"/>
          <w:bCs/>
          <w:iCs/>
          <w:sz w:val="22"/>
          <w:szCs w:val="22"/>
        </w:rPr>
      </w:pPr>
    </w:p>
    <w:p w:rsidR="00DF7081" w:rsidRDefault="00DF7081" w:rsidP="00F157D1">
      <w:pPr>
        <w:pStyle w:val="ListParagraph"/>
        <w:numPr>
          <w:ilvl w:val="0"/>
          <w:numId w:val="48"/>
        </w:numPr>
        <w:rPr>
          <w:rFonts w:eastAsiaTheme="majorEastAsia"/>
          <w:bCs/>
          <w:iCs/>
          <w:sz w:val="22"/>
          <w:szCs w:val="22"/>
        </w:rPr>
      </w:pPr>
      <w:r>
        <w:rPr>
          <w:rFonts w:eastAsia="Calibri"/>
          <w:sz w:val="22"/>
          <w:szCs w:val="22"/>
        </w:rPr>
        <w:t>P</w:t>
      </w:r>
      <w:r w:rsidRPr="002F07D2">
        <w:rPr>
          <w:rFonts w:eastAsia="Calibri"/>
          <w:bCs/>
          <w:iCs/>
          <w:sz w:val="22"/>
          <w:szCs w:val="22"/>
        </w:rPr>
        <w:t>roduction of the JSP will take place under the supervision of the Oxfordshire Growth Board and would not need new governance arrangements to be set up at this stage, allowing progress to be made on the initial commissioning of new evidence and studies</w:t>
      </w:r>
    </w:p>
    <w:p w:rsidR="00F57323" w:rsidRDefault="00F57323" w:rsidP="00F57323">
      <w:pPr>
        <w:pStyle w:val="ListParagraph"/>
        <w:ind w:left="0"/>
        <w:rPr>
          <w:rFonts w:eastAsia="Calibri"/>
          <w:bCs/>
          <w:iCs/>
          <w:sz w:val="22"/>
          <w:szCs w:val="22"/>
        </w:rPr>
      </w:pPr>
    </w:p>
    <w:p w:rsidR="00487864" w:rsidRPr="00FB3183" w:rsidRDefault="00487864" w:rsidP="00487864">
      <w:pPr>
        <w:pStyle w:val="ListParagraph"/>
        <w:numPr>
          <w:ilvl w:val="0"/>
          <w:numId w:val="48"/>
        </w:numPr>
        <w:rPr>
          <w:rFonts w:eastAsia="Calibri"/>
          <w:bCs/>
          <w:iCs/>
          <w:sz w:val="22"/>
          <w:szCs w:val="22"/>
        </w:rPr>
      </w:pPr>
      <w:r w:rsidRPr="00FB3183">
        <w:rPr>
          <w:rFonts w:eastAsia="Calibri"/>
          <w:bCs/>
          <w:iCs/>
          <w:sz w:val="22"/>
          <w:szCs w:val="22"/>
        </w:rPr>
        <w:t>If the constituent councils decide to undertake a statutory plan this will require agreement from all of the authorities concerned and governance arrangements may need to be reviewed. The Planning and Compulsory Purchase Act 2004 includes provisions to enable local planning authorities to produce a joint plan either by creating joint local development documents (s28) or by establishing Joint Planning Committees (s29). The appropriate route would need to be considered and agreed by constituent authorities.</w:t>
      </w:r>
    </w:p>
    <w:p w:rsidR="004806A4" w:rsidRPr="00292803" w:rsidRDefault="004806A4" w:rsidP="00292803">
      <w:pPr>
        <w:rPr>
          <w:rFonts w:eastAsiaTheme="majorEastAsia"/>
          <w:bCs/>
          <w:iCs/>
          <w:sz w:val="22"/>
          <w:szCs w:val="22"/>
        </w:rPr>
      </w:pPr>
    </w:p>
    <w:p w:rsidR="004806A4" w:rsidRPr="004806A4" w:rsidRDefault="00F57323" w:rsidP="004806A4">
      <w:pPr>
        <w:pStyle w:val="ListParagraph"/>
        <w:numPr>
          <w:ilvl w:val="0"/>
          <w:numId w:val="48"/>
        </w:numPr>
        <w:rPr>
          <w:rFonts w:eastAsiaTheme="majorEastAsia"/>
          <w:bCs/>
          <w:iCs/>
          <w:sz w:val="22"/>
          <w:szCs w:val="22"/>
        </w:rPr>
      </w:pPr>
      <w:r>
        <w:rPr>
          <w:rFonts w:eastAsiaTheme="majorEastAsia"/>
          <w:bCs/>
          <w:iCs/>
          <w:sz w:val="22"/>
          <w:szCs w:val="22"/>
        </w:rPr>
        <w:t>P</w:t>
      </w:r>
      <w:r w:rsidR="004806A4" w:rsidRPr="004806A4">
        <w:rPr>
          <w:rFonts w:eastAsiaTheme="majorEastAsia"/>
          <w:bCs/>
          <w:iCs/>
          <w:sz w:val="22"/>
          <w:szCs w:val="22"/>
        </w:rPr>
        <w:t xml:space="preserve">revious </w:t>
      </w:r>
      <w:r w:rsidR="00E934B1">
        <w:rPr>
          <w:rFonts w:eastAsiaTheme="majorEastAsia"/>
          <w:bCs/>
          <w:iCs/>
          <w:sz w:val="22"/>
          <w:szCs w:val="22"/>
        </w:rPr>
        <w:t>partnership</w:t>
      </w:r>
      <w:r w:rsidR="004806A4" w:rsidRPr="004806A4">
        <w:rPr>
          <w:rFonts w:eastAsiaTheme="majorEastAsia"/>
          <w:bCs/>
          <w:iCs/>
          <w:sz w:val="22"/>
          <w:szCs w:val="22"/>
        </w:rPr>
        <w:t xml:space="preserve"> oversight at officer level has been provided by the </w:t>
      </w:r>
      <w:r w:rsidR="004806A4">
        <w:rPr>
          <w:rFonts w:eastAsiaTheme="majorEastAsia"/>
          <w:bCs/>
          <w:iCs/>
          <w:sz w:val="22"/>
          <w:szCs w:val="22"/>
        </w:rPr>
        <w:t>G</w:t>
      </w:r>
      <w:r w:rsidR="004806A4" w:rsidRPr="004806A4">
        <w:rPr>
          <w:rFonts w:eastAsiaTheme="majorEastAsia"/>
          <w:bCs/>
          <w:iCs/>
          <w:sz w:val="22"/>
          <w:szCs w:val="22"/>
        </w:rPr>
        <w:t xml:space="preserve">rowth </w:t>
      </w:r>
      <w:r w:rsidR="004806A4">
        <w:rPr>
          <w:rFonts w:eastAsiaTheme="majorEastAsia"/>
          <w:bCs/>
          <w:iCs/>
          <w:sz w:val="22"/>
          <w:szCs w:val="22"/>
        </w:rPr>
        <w:t>B</w:t>
      </w:r>
      <w:r w:rsidR="004806A4" w:rsidRPr="004806A4">
        <w:rPr>
          <w:rFonts w:eastAsiaTheme="majorEastAsia"/>
          <w:bCs/>
          <w:iCs/>
          <w:sz w:val="22"/>
          <w:szCs w:val="22"/>
        </w:rPr>
        <w:t xml:space="preserve">oard secretariat and this business case </w:t>
      </w:r>
      <w:r w:rsidR="00E934B1">
        <w:rPr>
          <w:rFonts w:eastAsiaTheme="majorEastAsia"/>
          <w:bCs/>
          <w:iCs/>
          <w:sz w:val="22"/>
          <w:szCs w:val="22"/>
        </w:rPr>
        <w:t xml:space="preserve">assumes </w:t>
      </w:r>
      <w:r w:rsidR="004806A4" w:rsidRPr="004806A4">
        <w:rPr>
          <w:rFonts w:eastAsiaTheme="majorEastAsia"/>
          <w:bCs/>
          <w:iCs/>
          <w:sz w:val="22"/>
          <w:szCs w:val="22"/>
        </w:rPr>
        <w:t>th</w:t>
      </w:r>
      <w:r w:rsidR="004B1419">
        <w:rPr>
          <w:rFonts w:eastAsiaTheme="majorEastAsia"/>
          <w:bCs/>
          <w:iCs/>
          <w:sz w:val="22"/>
          <w:szCs w:val="22"/>
        </w:rPr>
        <w:t>is</w:t>
      </w:r>
      <w:r w:rsidR="004806A4" w:rsidRPr="004806A4">
        <w:rPr>
          <w:rFonts w:eastAsiaTheme="majorEastAsia"/>
          <w:bCs/>
          <w:iCs/>
          <w:sz w:val="22"/>
          <w:szCs w:val="22"/>
        </w:rPr>
        <w:t xml:space="preserve"> </w:t>
      </w:r>
      <w:r w:rsidR="004B1419">
        <w:rPr>
          <w:rFonts w:eastAsiaTheme="majorEastAsia"/>
          <w:bCs/>
          <w:iCs/>
          <w:sz w:val="22"/>
          <w:szCs w:val="22"/>
        </w:rPr>
        <w:t xml:space="preserve">role </w:t>
      </w:r>
      <w:r w:rsidR="004806A4" w:rsidRPr="004806A4">
        <w:rPr>
          <w:rFonts w:eastAsiaTheme="majorEastAsia"/>
          <w:bCs/>
          <w:iCs/>
          <w:sz w:val="22"/>
          <w:szCs w:val="22"/>
        </w:rPr>
        <w:t>continu</w:t>
      </w:r>
      <w:r w:rsidR="004B1419">
        <w:rPr>
          <w:rFonts w:eastAsiaTheme="majorEastAsia"/>
          <w:bCs/>
          <w:iCs/>
          <w:sz w:val="22"/>
          <w:szCs w:val="22"/>
        </w:rPr>
        <w:t>es</w:t>
      </w:r>
      <w:r w:rsidR="004806A4" w:rsidRPr="004806A4">
        <w:rPr>
          <w:rFonts w:eastAsiaTheme="majorEastAsia"/>
          <w:bCs/>
          <w:iCs/>
          <w:sz w:val="22"/>
          <w:szCs w:val="22"/>
        </w:rPr>
        <w:t>.</w:t>
      </w:r>
    </w:p>
    <w:p w:rsidR="000B1D9E" w:rsidRPr="000B1D9E" w:rsidRDefault="000B1D9E" w:rsidP="000B1D9E">
      <w:pPr>
        <w:pStyle w:val="ListParagraph"/>
        <w:rPr>
          <w:rFonts w:eastAsiaTheme="majorEastAsia"/>
          <w:bCs/>
          <w:iCs/>
          <w:sz w:val="22"/>
          <w:szCs w:val="22"/>
        </w:rPr>
      </w:pPr>
    </w:p>
    <w:p w:rsidR="00DF7081" w:rsidRDefault="00DF7081">
      <w:pPr>
        <w:rPr>
          <w:rFonts w:eastAsiaTheme="majorEastAsia"/>
          <w:b/>
          <w:bCs/>
          <w:iCs/>
          <w:color w:val="000000" w:themeColor="text1"/>
          <w:u w:val="single"/>
        </w:rPr>
      </w:pPr>
    </w:p>
    <w:p w:rsidR="00155AA3" w:rsidRDefault="00155AA3">
      <w:pPr>
        <w:rPr>
          <w:rFonts w:eastAsiaTheme="majorEastAsia"/>
          <w:b/>
          <w:bCs/>
          <w:iCs/>
          <w:color w:val="000000" w:themeColor="text1"/>
          <w:u w:val="single"/>
        </w:rPr>
      </w:pPr>
      <w:r>
        <w:rPr>
          <w:rFonts w:eastAsiaTheme="majorEastAsia"/>
          <w:b/>
          <w:bCs/>
          <w:iCs/>
          <w:color w:val="000000" w:themeColor="text1"/>
          <w:u w:val="single"/>
        </w:rPr>
        <w:br w:type="page"/>
      </w:r>
    </w:p>
    <w:p w:rsidR="00155AA3" w:rsidRDefault="00155AA3" w:rsidP="008036B3"/>
    <w:p w:rsidR="00155AA3" w:rsidRPr="00342585" w:rsidRDefault="00155AA3" w:rsidP="00155AA3">
      <w:pPr>
        <w:keepNext/>
        <w:keepLines/>
        <w:spacing w:before="120" w:after="120"/>
        <w:outlineLvl w:val="1"/>
        <w:rPr>
          <w:rFonts w:eastAsiaTheme="majorEastAsia"/>
          <w:b/>
          <w:bCs/>
          <w:iCs/>
          <w:u w:val="single"/>
        </w:rPr>
      </w:pPr>
      <w:r w:rsidRPr="00342585">
        <w:rPr>
          <w:rFonts w:eastAsiaTheme="majorEastAsia"/>
          <w:b/>
          <w:bCs/>
          <w:iCs/>
          <w:u w:val="single"/>
        </w:rPr>
        <w:t>Project Management Structures</w:t>
      </w:r>
    </w:p>
    <w:p w:rsidR="00155AA3" w:rsidRPr="00085830" w:rsidRDefault="00155AA3" w:rsidP="00085830">
      <w:pPr>
        <w:pStyle w:val="ListParagraph"/>
        <w:keepNext/>
        <w:keepLines/>
        <w:numPr>
          <w:ilvl w:val="0"/>
          <w:numId w:val="48"/>
        </w:numPr>
        <w:spacing w:before="120" w:after="120"/>
        <w:outlineLvl w:val="1"/>
        <w:rPr>
          <w:rFonts w:eastAsiaTheme="majorEastAsia"/>
          <w:bCs/>
          <w:iCs/>
          <w:sz w:val="22"/>
          <w:szCs w:val="22"/>
        </w:rPr>
      </w:pPr>
      <w:r w:rsidRPr="00F157D1">
        <w:rPr>
          <w:rFonts w:eastAsiaTheme="majorEastAsia"/>
          <w:bCs/>
          <w:iCs/>
          <w:sz w:val="22"/>
          <w:szCs w:val="22"/>
        </w:rPr>
        <w:t xml:space="preserve">The table below sets out the proposed project management structure required.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551"/>
        <w:gridCol w:w="3796"/>
      </w:tblGrid>
      <w:tr w:rsidR="00155AA3" w:rsidRPr="00ED57C1" w:rsidTr="001F550F">
        <w:trPr>
          <w:trHeight w:val="458"/>
          <w:jc w:val="center"/>
        </w:trPr>
        <w:tc>
          <w:tcPr>
            <w:tcW w:w="2710" w:type="dxa"/>
            <w:shd w:val="clear" w:color="auto" w:fill="A6A6A6" w:themeFill="background1" w:themeFillShade="A6"/>
          </w:tcPr>
          <w:p w:rsidR="00155AA3" w:rsidRPr="00FE5E2D" w:rsidRDefault="00155AA3" w:rsidP="001F550F">
            <w:pPr>
              <w:pStyle w:val="ListParagraph"/>
              <w:widowControl w:val="0"/>
              <w:spacing w:before="120" w:after="120" w:line="240" w:lineRule="atLeast"/>
              <w:rPr>
                <w:rFonts w:eastAsia="Times New Roman" w:cs="Times New Roman"/>
                <w:b/>
                <w:sz w:val="22"/>
                <w:szCs w:val="22"/>
                <w:lang w:eastAsia="en-GB"/>
              </w:rPr>
            </w:pPr>
            <w:r w:rsidRPr="00FE5E2D">
              <w:rPr>
                <w:rFonts w:eastAsia="Times New Roman" w:cs="Times New Roman"/>
                <w:b/>
                <w:sz w:val="22"/>
                <w:szCs w:val="22"/>
                <w:lang w:eastAsia="en-GB"/>
              </w:rPr>
              <w:t>Responsible Owner</w:t>
            </w:r>
          </w:p>
        </w:tc>
        <w:tc>
          <w:tcPr>
            <w:tcW w:w="2551" w:type="dxa"/>
            <w:shd w:val="clear" w:color="auto" w:fill="A6A6A6" w:themeFill="background1" w:themeFillShade="A6"/>
          </w:tcPr>
          <w:p w:rsidR="00155AA3" w:rsidRPr="00FE5E2D" w:rsidRDefault="00155AA3" w:rsidP="001F550F">
            <w:pPr>
              <w:pStyle w:val="ListParagraph"/>
              <w:widowControl w:val="0"/>
              <w:spacing w:before="120" w:after="120" w:line="240" w:lineRule="atLeast"/>
              <w:rPr>
                <w:rFonts w:eastAsia="Times New Roman" w:cs="Times New Roman"/>
                <w:b/>
                <w:sz w:val="22"/>
                <w:szCs w:val="22"/>
                <w:lang w:eastAsia="en-GB"/>
              </w:rPr>
            </w:pPr>
            <w:r w:rsidRPr="00FE5E2D">
              <w:rPr>
                <w:rFonts w:eastAsia="Times New Roman" w:cs="Times New Roman"/>
                <w:b/>
                <w:sz w:val="22"/>
                <w:szCs w:val="22"/>
                <w:lang w:eastAsia="en-GB"/>
              </w:rPr>
              <w:t xml:space="preserve">Name </w:t>
            </w:r>
          </w:p>
        </w:tc>
        <w:tc>
          <w:tcPr>
            <w:tcW w:w="3796" w:type="dxa"/>
            <w:shd w:val="clear" w:color="auto" w:fill="A6A6A6" w:themeFill="background1" w:themeFillShade="A6"/>
          </w:tcPr>
          <w:p w:rsidR="00155AA3" w:rsidRPr="00FE5E2D" w:rsidRDefault="00155AA3" w:rsidP="001F550F">
            <w:pPr>
              <w:pStyle w:val="ListParagraph"/>
              <w:widowControl w:val="0"/>
              <w:spacing w:before="120" w:after="120" w:line="240" w:lineRule="atLeast"/>
              <w:rPr>
                <w:rFonts w:eastAsia="Times New Roman" w:cs="Times New Roman"/>
                <w:b/>
                <w:sz w:val="22"/>
                <w:szCs w:val="22"/>
                <w:lang w:eastAsia="en-GB"/>
              </w:rPr>
            </w:pPr>
            <w:r w:rsidRPr="00FE5E2D">
              <w:rPr>
                <w:rFonts w:eastAsia="Times New Roman" w:cs="Times New Roman"/>
                <w:b/>
                <w:sz w:val="22"/>
                <w:szCs w:val="22"/>
                <w:lang w:eastAsia="en-GB"/>
              </w:rPr>
              <w:t>Role and frequency</w:t>
            </w:r>
          </w:p>
        </w:tc>
      </w:tr>
      <w:tr w:rsidR="00155AA3" w:rsidRPr="00ED57C1" w:rsidTr="001F550F">
        <w:trPr>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lang w:eastAsia="en-GB"/>
              </w:rPr>
            </w:pPr>
          </w:p>
          <w:p w:rsidR="00155AA3" w:rsidRPr="007F60E6" w:rsidRDefault="00155AA3" w:rsidP="001F550F">
            <w:pPr>
              <w:widowControl w:val="0"/>
              <w:spacing w:before="120" w:after="120"/>
              <w:rPr>
                <w:rFonts w:eastAsia="Times New Roman" w:cs="Times New Roman"/>
                <w:b/>
                <w:sz w:val="20"/>
                <w:szCs w:val="20"/>
                <w:lang w:eastAsia="en-GB"/>
              </w:rPr>
            </w:pPr>
            <w:r w:rsidRPr="007F60E6">
              <w:rPr>
                <w:rFonts w:eastAsia="Times New Roman" w:cs="Times New Roman"/>
                <w:b/>
                <w:sz w:val="20"/>
                <w:szCs w:val="20"/>
                <w:lang w:eastAsia="en-GB"/>
              </w:rPr>
              <w:t>Project Sponsor</w:t>
            </w: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Oxfordshire Growth Board </w:t>
            </w:r>
          </w:p>
        </w:tc>
        <w:tc>
          <w:tcPr>
            <w:tcW w:w="3796" w:type="dxa"/>
          </w:tcPr>
          <w:p w:rsidR="00155AA3" w:rsidRPr="007F60E6" w:rsidRDefault="00F57323" w:rsidP="00F57323">
            <w:pPr>
              <w:widowControl w:val="0"/>
              <w:spacing w:before="120" w:after="120"/>
              <w:rPr>
                <w:rFonts w:eastAsia="Times New Roman" w:cs="Times New Roman"/>
                <w:sz w:val="20"/>
                <w:szCs w:val="20"/>
                <w:lang w:eastAsia="en-GB"/>
              </w:rPr>
            </w:pPr>
            <w:r>
              <w:rPr>
                <w:rFonts w:eastAsia="Times New Roman" w:cs="Times New Roman"/>
                <w:sz w:val="20"/>
                <w:szCs w:val="20"/>
                <w:lang w:eastAsia="en-GB"/>
              </w:rPr>
              <w:t xml:space="preserve">Recommendations to constituent authorities; endorsement </w:t>
            </w:r>
            <w:r w:rsidR="00155AA3" w:rsidRPr="007F60E6">
              <w:rPr>
                <w:rFonts w:eastAsia="Times New Roman" w:cs="Times New Roman"/>
                <w:sz w:val="20"/>
                <w:szCs w:val="20"/>
                <w:lang w:eastAsia="en-GB"/>
              </w:rPr>
              <w:t xml:space="preserve"> of Business case, project initiation, budget, the Joint Spatial Plan documents, a Statement of Common Ground, Statement of Community Involvement and key milestones Quarterly progress reports from  Strategic Project Board</w:t>
            </w:r>
          </w:p>
        </w:tc>
      </w:tr>
      <w:tr w:rsidR="0022026E" w:rsidRPr="00ED57C1" w:rsidTr="001F550F">
        <w:trPr>
          <w:jc w:val="center"/>
        </w:trPr>
        <w:tc>
          <w:tcPr>
            <w:tcW w:w="2710" w:type="dxa"/>
          </w:tcPr>
          <w:p w:rsidR="0022026E" w:rsidRPr="007F60E6" w:rsidRDefault="0022026E" w:rsidP="001F550F">
            <w:pPr>
              <w:widowControl w:val="0"/>
              <w:spacing w:before="120" w:after="120"/>
              <w:rPr>
                <w:rFonts w:eastAsia="Times New Roman" w:cs="Times New Roman"/>
                <w:b/>
                <w:sz w:val="20"/>
                <w:szCs w:val="20"/>
                <w:lang w:eastAsia="en-GB"/>
              </w:rPr>
            </w:pPr>
            <w:r>
              <w:rPr>
                <w:rFonts w:eastAsia="Times New Roman" w:cs="Times New Roman"/>
                <w:b/>
                <w:sz w:val="20"/>
                <w:szCs w:val="20"/>
                <w:lang w:eastAsia="en-GB"/>
              </w:rPr>
              <w:t>Chief Executive Group</w:t>
            </w:r>
          </w:p>
        </w:tc>
        <w:tc>
          <w:tcPr>
            <w:tcW w:w="2551" w:type="dxa"/>
          </w:tcPr>
          <w:p w:rsidR="0022026E" w:rsidRPr="00EC425F" w:rsidRDefault="00216C42" w:rsidP="001F550F">
            <w:pPr>
              <w:widowControl w:val="0"/>
              <w:spacing w:before="120" w:after="120"/>
              <w:rPr>
                <w:rFonts w:eastAsia="Times New Roman" w:cs="Times New Roman"/>
                <w:sz w:val="20"/>
                <w:szCs w:val="20"/>
                <w:lang w:eastAsia="en-GB"/>
              </w:rPr>
            </w:pPr>
            <w:r w:rsidRPr="00EC425F">
              <w:rPr>
                <w:rFonts w:eastAsia="Times New Roman" w:cs="Times New Roman"/>
                <w:sz w:val="20"/>
                <w:szCs w:val="20"/>
                <w:lang w:eastAsia="en-GB"/>
              </w:rPr>
              <w:t>Chief Executive Group</w:t>
            </w:r>
          </w:p>
        </w:tc>
        <w:tc>
          <w:tcPr>
            <w:tcW w:w="3796" w:type="dxa"/>
          </w:tcPr>
          <w:p w:rsidR="0022026E" w:rsidRPr="007F60E6" w:rsidRDefault="00216C42" w:rsidP="00216C42">
            <w:pPr>
              <w:widowControl w:val="0"/>
              <w:spacing w:before="120" w:after="120"/>
              <w:rPr>
                <w:rFonts w:eastAsia="Times New Roman" w:cs="Times New Roman"/>
                <w:sz w:val="20"/>
                <w:szCs w:val="20"/>
                <w:lang w:eastAsia="en-GB"/>
              </w:rPr>
            </w:pPr>
            <w:r>
              <w:rPr>
                <w:rFonts w:eastAsia="Times New Roman" w:cs="Times New Roman"/>
                <w:sz w:val="20"/>
                <w:szCs w:val="20"/>
                <w:lang w:eastAsia="en-GB"/>
              </w:rPr>
              <w:t>Recommendations for decisions put to Growth Board</w:t>
            </w:r>
          </w:p>
        </w:tc>
      </w:tr>
      <w:tr w:rsidR="00155AA3" w:rsidRPr="00ED57C1" w:rsidTr="001F550F">
        <w:trPr>
          <w:jc w:val="center"/>
        </w:trPr>
        <w:tc>
          <w:tcPr>
            <w:tcW w:w="2710" w:type="dxa"/>
          </w:tcPr>
          <w:p w:rsidR="00155AA3" w:rsidRPr="007F60E6" w:rsidRDefault="00155AA3" w:rsidP="001F550F">
            <w:pPr>
              <w:widowControl w:val="0"/>
              <w:spacing w:before="120" w:after="120"/>
              <w:rPr>
                <w:rFonts w:eastAsia="Times New Roman" w:cs="Times New Roman"/>
                <w:b/>
                <w:sz w:val="20"/>
                <w:szCs w:val="20"/>
                <w:lang w:eastAsia="en-GB"/>
              </w:rPr>
            </w:pPr>
            <w:r w:rsidRPr="007F60E6">
              <w:rPr>
                <w:rFonts w:eastAsia="Times New Roman" w:cs="Times New Roman"/>
                <w:b/>
                <w:sz w:val="20"/>
                <w:szCs w:val="20"/>
                <w:lang w:eastAsia="en-GB"/>
              </w:rPr>
              <w:t>Strategic Project Board</w:t>
            </w: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Growth Board EOG sub group - comprising lead strategic directors of councils</w:t>
            </w:r>
          </w:p>
        </w:tc>
        <w:tc>
          <w:tcPr>
            <w:tcW w:w="3796"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Bi-Monthly progress reports from Project Board.</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Approval of key project milestones and attendance at check and challenge at key milestones</w:t>
            </w:r>
          </w:p>
        </w:tc>
      </w:tr>
      <w:tr w:rsidR="00155AA3" w:rsidRPr="00ED57C1" w:rsidTr="001F550F">
        <w:trPr>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lang w:eastAsia="en-GB"/>
              </w:rPr>
            </w:pPr>
          </w:p>
          <w:p w:rsidR="00155AA3" w:rsidRPr="007F60E6" w:rsidRDefault="00155AA3" w:rsidP="001F550F">
            <w:pPr>
              <w:widowControl w:val="0"/>
              <w:spacing w:before="120" w:after="120"/>
              <w:rPr>
                <w:rFonts w:eastAsia="Times New Roman" w:cs="Times New Roman"/>
                <w:b/>
                <w:sz w:val="20"/>
                <w:szCs w:val="20"/>
                <w:lang w:eastAsia="en-GB"/>
              </w:rPr>
            </w:pPr>
            <w:r w:rsidRPr="007F60E6">
              <w:rPr>
                <w:rFonts w:eastAsia="Times New Roman" w:cs="Times New Roman"/>
                <w:b/>
                <w:sz w:val="20"/>
                <w:szCs w:val="20"/>
                <w:lang w:eastAsia="en-GB"/>
              </w:rPr>
              <w:t>Detailed Project Board</w:t>
            </w: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Growth Board Planning Delivery Group comprising </w:t>
            </w:r>
            <w:r>
              <w:rPr>
                <w:rFonts w:eastAsia="Times New Roman" w:cs="Times New Roman"/>
                <w:sz w:val="20"/>
                <w:szCs w:val="20"/>
                <w:lang w:eastAsia="en-GB"/>
              </w:rPr>
              <w:t>H</w:t>
            </w:r>
            <w:r w:rsidRPr="007F60E6">
              <w:rPr>
                <w:rFonts w:eastAsia="Times New Roman" w:cs="Times New Roman"/>
                <w:sz w:val="20"/>
                <w:szCs w:val="20"/>
                <w:lang w:eastAsia="en-GB"/>
              </w:rPr>
              <w:t xml:space="preserve">eads of Planning from councils </w:t>
            </w:r>
          </w:p>
        </w:tc>
        <w:tc>
          <w:tcPr>
            <w:tcW w:w="3796"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Delivery of project.</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Monthly meetings and other key points to be agreed</w:t>
            </w:r>
          </w:p>
        </w:tc>
      </w:tr>
      <w:tr w:rsidR="00155AA3" w:rsidRPr="00ED57C1" w:rsidTr="001F550F">
        <w:trPr>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rPr>
            </w:pPr>
          </w:p>
          <w:p w:rsidR="00155AA3" w:rsidRPr="007F60E6" w:rsidRDefault="00155AA3" w:rsidP="001F550F">
            <w:pPr>
              <w:widowControl w:val="0"/>
              <w:spacing w:before="120" w:after="120"/>
              <w:rPr>
                <w:rFonts w:eastAsia="Times New Roman" w:cs="Times New Roman"/>
                <w:b/>
                <w:sz w:val="20"/>
                <w:szCs w:val="20"/>
              </w:rPr>
            </w:pPr>
            <w:r w:rsidRPr="007F60E6">
              <w:rPr>
                <w:rFonts w:eastAsia="Times New Roman" w:cs="Times New Roman"/>
                <w:b/>
                <w:sz w:val="20"/>
                <w:szCs w:val="20"/>
              </w:rPr>
              <w:t xml:space="preserve">Joint Strategic Plan </w:t>
            </w:r>
            <w:r>
              <w:rPr>
                <w:rFonts w:eastAsia="Times New Roman" w:cs="Times New Roman"/>
                <w:b/>
                <w:sz w:val="20"/>
                <w:szCs w:val="20"/>
              </w:rPr>
              <w:t xml:space="preserve"> </w:t>
            </w:r>
            <w:r w:rsidRPr="007F60E6">
              <w:rPr>
                <w:rFonts w:eastAsia="Times New Roman" w:cs="Times New Roman"/>
                <w:b/>
                <w:sz w:val="20"/>
                <w:szCs w:val="20"/>
              </w:rPr>
              <w:t>Team</w:t>
            </w:r>
            <w:r>
              <w:rPr>
                <w:rFonts w:eastAsia="Times New Roman" w:cs="Times New Roman"/>
                <w:b/>
                <w:sz w:val="20"/>
                <w:szCs w:val="20"/>
              </w:rPr>
              <w:t xml:space="preserve"> Manager</w:t>
            </w:r>
          </w:p>
          <w:p w:rsidR="00155AA3" w:rsidRDefault="00155AA3" w:rsidP="001F550F">
            <w:pPr>
              <w:widowControl w:val="0"/>
              <w:spacing w:before="120" w:after="120"/>
              <w:rPr>
                <w:rFonts w:eastAsia="Times New Roman" w:cs="Times New Roman"/>
                <w:b/>
                <w:sz w:val="20"/>
                <w:szCs w:val="20"/>
              </w:rPr>
            </w:pP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Joint Strategic Plan </w:t>
            </w:r>
            <w:r>
              <w:rPr>
                <w:rFonts w:eastAsia="Times New Roman" w:cs="Times New Roman"/>
                <w:sz w:val="20"/>
                <w:szCs w:val="20"/>
                <w:lang w:eastAsia="en-GB"/>
              </w:rPr>
              <w:t xml:space="preserve">Project </w:t>
            </w:r>
            <w:r w:rsidRPr="007F60E6">
              <w:rPr>
                <w:rFonts w:eastAsia="Times New Roman" w:cs="Times New Roman"/>
                <w:sz w:val="20"/>
                <w:szCs w:val="20"/>
                <w:lang w:eastAsia="en-GB"/>
              </w:rPr>
              <w:t>Team</w:t>
            </w:r>
          </w:p>
        </w:tc>
        <w:tc>
          <w:tcPr>
            <w:tcW w:w="3796"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Dedicated team to </w:t>
            </w:r>
            <w:r w:rsidR="00C16822">
              <w:rPr>
                <w:rFonts w:eastAsia="Times New Roman" w:cs="Times New Roman"/>
                <w:sz w:val="20"/>
                <w:szCs w:val="20"/>
                <w:lang w:eastAsia="en-GB"/>
              </w:rPr>
              <w:t xml:space="preserve">lead and </w:t>
            </w:r>
            <w:r w:rsidRPr="007F60E6">
              <w:rPr>
                <w:rFonts w:eastAsia="Times New Roman" w:cs="Times New Roman"/>
                <w:sz w:val="20"/>
                <w:szCs w:val="20"/>
                <w:lang w:eastAsia="en-GB"/>
              </w:rPr>
              <w:t xml:space="preserve">deliver the </w:t>
            </w:r>
            <w:r w:rsidR="00C16822">
              <w:rPr>
                <w:rFonts w:eastAsia="Times New Roman" w:cs="Times New Roman"/>
                <w:sz w:val="20"/>
                <w:szCs w:val="20"/>
                <w:lang w:eastAsia="en-GB"/>
              </w:rPr>
              <w:t xml:space="preserve">preparation of the </w:t>
            </w:r>
            <w:r w:rsidRPr="007F60E6">
              <w:rPr>
                <w:rFonts w:eastAsia="Times New Roman" w:cs="Times New Roman"/>
                <w:sz w:val="20"/>
                <w:szCs w:val="20"/>
                <w:lang w:eastAsia="en-GB"/>
              </w:rPr>
              <w:t>Joint Strategic Plan</w:t>
            </w:r>
          </w:p>
          <w:p w:rsidR="00155AA3" w:rsidRPr="007F60E6" w:rsidRDefault="00155AA3" w:rsidP="00C16822">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Lead</w:t>
            </w:r>
            <w:r>
              <w:rPr>
                <w:rFonts w:eastAsia="Times New Roman" w:cs="Times New Roman"/>
                <w:sz w:val="20"/>
                <w:szCs w:val="20"/>
                <w:lang w:eastAsia="en-GB"/>
              </w:rPr>
              <w:t>s</w:t>
            </w:r>
            <w:r w:rsidRPr="007F60E6">
              <w:rPr>
                <w:rFonts w:eastAsia="Times New Roman" w:cs="Times New Roman"/>
                <w:sz w:val="20"/>
                <w:szCs w:val="20"/>
                <w:lang w:eastAsia="en-GB"/>
              </w:rPr>
              <w:t xml:space="preserve"> the project, reports to PDG</w:t>
            </w:r>
            <w:proofErr w:type="gramStart"/>
            <w:r w:rsidRPr="007F60E6">
              <w:rPr>
                <w:rFonts w:eastAsia="Times New Roman" w:cs="Times New Roman"/>
                <w:sz w:val="20"/>
                <w:szCs w:val="20"/>
                <w:lang w:eastAsia="en-GB"/>
              </w:rPr>
              <w:t>,  and</w:t>
            </w:r>
            <w:proofErr w:type="gramEnd"/>
            <w:r w:rsidRPr="007F60E6">
              <w:rPr>
                <w:rFonts w:eastAsia="Times New Roman" w:cs="Times New Roman"/>
                <w:sz w:val="20"/>
                <w:szCs w:val="20"/>
                <w:lang w:eastAsia="en-GB"/>
              </w:rPr>
              <w:t xml:space="preserve"> manages project team, budget, commissions consultants, risk register etc.</w:t>
            </w:r>
            <w:r w:rsidR="00C16822">
              <w:rPr>
                <w:rFonts w:eastAsia="Times New Roman" w:cs="Times New Roman"/>
                <w:sz w:val="20"/>
                <w:szCs w:val="20"/>
                <w:lang w:eastAsia="en-GB"/>
              </w:rPr>
              <w:t xml:space="preserve"> Leads the process to draw upon policy specialists as required. </w:t>
            </w:r>
          </w:p>
        </w:tc>
      </w:tr>
      <w:tr w:rsidR="00155AA3" w:rsidRPr="00ED57C1" w:rsidTr="0018687F">
        <w:trPr>
          <w:trHeight w:val="929"/>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rPr>
            </w:pPr>
          </w:p>
          <w:p w:rsidR="00155AA3" w:rsidRPr="0036555C" w:rsidRDefault="00155AA3" w:rsidP="0018687F">
            <w:pPr>
              <w:widowControl w:val="0"/>
              <w:spacing w:before="120" w:after="120"/>
              <w:rPr>
                <w:rFonts w:eastAsia="Times New Roman" w:cs="Times New Roman"/>
                <w:b/>
                <w:sz w:val="20"/>
                <w:szCs w:val="20"/>
                <w:lang w:eastAsia="en-GB"/>
              </w:rPr>
            </w:pPr>
            <w:r w:rsidRPr="007F60E6">
              <w:rPr>
                <w:rFonts w:eastAsia="Times New Roman" w:cs="Times New Roman"/>
                <w:b/>
                <w:sz w:val="20"/>
                <w:szCs w:val="20"/>
              </w:rPr>
              <w:t>Host authority</w:t>
            </w: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The Chair of the Oxfordshire Growth Board rotates </w:t>
            </w:r>
            <w:r w:rsidR="0018687F">
              <w:rPr>
                <w:rFonts w:eastAsia="Times New Roman" w:cs="Times New Roman"/>
                <w:sz w:val="20"/>
                <w:szCs w:val="20"/>
                <w:lang w:eastAsia="en-GB"/>
              </w:rPr>
              <w:t xml:space="preserve">each </w:t>
            </w:r>
            <w:r w:rsidRPr="007F60E6">
              <w:rPr>
                <w:rFonts w:eastAsia="Times New Roman" w:cs="Times New Roman"/>
                <w:sz w:val="20"/>
                <w:szCs w:val="20"/>
                <w:lang w:eastAsia="en-GB"/>
              </w:rPr>
              <w:t>year in July</w:t>
            </w:r>
          </w:p>
        </w:tc>
        <w:tc>
          <w:tcPr>
            <w:tcW w:w="3796" w:type="dxa"/>
          </w:tcPr>
          <w:p w:rsidR="00155AA3" w:rsidRPr="0036555C" w:rsidRDefault="00155AA3" w:rsidP="0018687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Chairmanship of Oxfordshire Growth Board and the various sub groups</w:t>
            </w:r>
            <w:r w:rsidR="00C16822">
              <w:rPr>
                <w:rFonts w:eastAsia="Times New Roman" w:cs="Times New Roman"/>
                <w:sz w:val="20"/>
                <w:szCs w:val="20"/>
                <w:lang w:eastAsia="en-GB"/>
              </w:rPr>
              <w:t xml:space="preserve"> to secure collective agreement.</w:t>
            </w:r>
          </w:p>
        </w:tc>
      </w:tr>
      <w:tr w:rsidR="00155AA3" w:rsidRPr="00ED57C1" w:rsidTr="001F550F">
        <w:trPr>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lang w:eastAsia="en-GB"/>
              </w:rPr>
            </w:pPr>
          </w:p>
          <w:p w:rsidR="00155AA3" w:rsidRPr="007F60E6" w:rsidRDefault="00155AA3" w:rsidP="001F550F">
            <w:pPr>
              <w:widowControl w:val="0"/>
              <w:spacing w:before="120" w:after="120"/>
              <w:rPr>
                <w:rFonts w:eastAsia="Times New Roman" w:cs="Times New Roman"/>
                <w:b/>
                <w:sz w:val="20"/>
                <w:szCs w:val="20"/>
                <w:lang w:eastAsia="en-GB"/>
              </w:rPr>
            </w:pPr>
            <w:r>
              <w:rPr>
                <w:rFonts w:eastAsia="Times New Roman" w:cs="Times New Roman"/>
                <w:b/>
                <w:sz w:val="20"/>
                <w:szCs w:val="20"/>
                <w:lang w:eastAsia="en-GB"/>
              </w:rPr>
              <w:t xml:space="preserve">OGB </w:t>
            </w:r>
            <w:r w:rsidRPr="007F60E6">
              <w:rPr>
                <w:rFonts w:eastAsia="Times New Roman" w:cs="Times New Roman"/>
                <w:b/>
                <w:sz w:val="20"/>
                <w:szCs w:val="20"/>
                <w:lang w:eastAsia="en-GB"/>
              </w:rPr>
              <w:t>Programme Management</w:t>
            </w: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Growth Board Programme Manager</w:t>
            </w:r>
          </w:p>
        </w:tc>
        <w:tc>
          <w:tcPr>
            <w:tcW w:w="3796"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Supports Oxfordshire Growth Board, EOG, PDG and lead officers. Coordinates within overall Board programme. Part of JSP Project Team</w:t>
            </w:r>
          </w:p>
        </w:tc>
      </w:tr>
      <w:tr w:rsidR="00155AA3" w:rsidRPr="00ED57C1" w:rsidTr="0018687F">
        <w:trPr>
          <w:trHeight w:val="346"/>
          <w:jc w:val="center"/>
        </w:trPr>
        <w:tc>
          <w:tcPr>
            <w:tcW w:w="2710" w:type="dxa"/>
          </w:tcPr>
          <w:p w:rsidR="00155AA3" w:rsidRPr="00FE5E2D" w:rsidRDefault="00155AA3" w:rsidP="001F550F">
            <w:pPr>
              <w:pStyle w:val="ListParagraph"/>
              <w:widowControl w:val="0"/>
              <w:spacing w:before="120" w:after="120"/>
              <w:rPr>
                <w:rFonts w:eastAsia="Times New Roman" w:cs="Times New Roman"/>
                <w:b/>
                <w:sz w:val="20"/>
                <w:szCs w:val="20"/>
                <w:lang w:eastAsia="en-GB"/>
              </w:rPr>
            </w:pPr>
          </w:p>
          <w:p w:rsidR="00155AA3" w:rsidRDefault="00155AA3" w:rsidP="001F550F">
            <w:pPr>
              <w:widowControl w:val="0"/>
              <w:spacing w:before="120" w:after="120"/>
              <w:rPr>
                <w:rFonts w:eastAsia="Times New Roman" w:cs="Times New Roman"/>
                <w:b/>
                <w:sz w:val="20"/>
                <w:szCs w:val="20"/>
                <w:lang w:eastAsia="en-GB"/>
              </w:rPr>
            </w:pPr>
          </w:p>
          <w:p w:rsidR="00155AA3" w:rsidRDefault="00155AA3" w:rsidP="001F550F">
            <w:pPr>
              <w:widowControl w:val="0"/>
              <w:spacing w:before="120" w:after="120"/>
              <w:rPr>
                <w:rFonts w:eastAsia="Times New Roman" w:cs="Times New Roman"/>
                <w:b/>
                <w:sz w:val="20"/>
                <w:szCs w:val="20"/>
                <w:lang w:eastAsia="en-GB"/>
              </w:rPr>
            </w:pPr>
          </w:p>
          <w:p w:rsidR="00155AA3" w:rsidRPr="007F60E6" w:rsidRDefault="00155AA3" w:rsidP="001F550F">
            <w:pPr>
              <w:widowControl w:val="0"/>
              <w:spacing w:before="120" w:after="120"/>
              <w:rPr>
                <w:rFonts w:eastAsia="Times New Roman" w:cs="Times New Roman"/>
                <w:b/>
                <w:sz w:val="20"/>
                <w:szCs w:val="20"/>
                <w:lang w:eastAsia="en-GB"/>
              </w:rPr>
            </w:pPr>
            <w:r w:rsidRPr="007F60E6">
              <w:rPr>
                <w:rFonts w:eastAsia="Times New Roman" w:cs="Times New Roman"/>
                <w:b/>
                <w:sz w:val="20"/>
                <w:szCs w:val="20"/>
                <w:lang w:eastAsia="en-GB"/>
              </w:rPr>
              <w:t>Local Authorities</w:t>
            </w:r>
          </w:p>
          <w:p w:rsidR="00155AA3" w:rsidRPr="0036555C" w:rsidRDefault="00155AA3" w:rsidP="001F550F">
            <w:pPr>
              <w:widowControl w:val="0"/>
              <w:spacing w:before="120" w:after="120"/>
              <w:rPr>
                <w:rFonts w:eastAsia="Times New Roman" w:cs="Times New Roman"/>
                <w:b/>
                <w:sz w:val="20"/>
                <w:szCs w:val="20"/>
                <w:lang w:eastAsia="en-GB"/>
              </w:rPr>
            </w:pPr>
          </w:p>
        </w:tc>
        <w:tc>
          <w:tcPr>
            <w:tcW w:w="2551" w:type="dxa"/>
          </w:tcPr>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Cherwell District Council</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Oxford City Council</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Oxfordshire County Council</w:t>
            </w:r>
          </w:p>
          <w:p w:rsidR="00155AA3" w:rsidRPr="007F60E6" w:rsidRDefault="00155AA3" w:rsidP="001F550F">
            <w:pPr>
              <w:widowControl w:val="0"/>
              <w:spacing w:before="120" w:after="120"/>
              <w:rPr>
                <w:rFonts w:eastAsia="Times New Roman" w:cs="Times New Roman"/>
                <w:sz w:val="20"/>
                <w:szCs w:val="20"/>
                <w:lang w:eastAsia="en-GB"/>
              </w:rPr>
            </w:pPr>
            <w:r>
              <w:rPr>
                <w:rFonts w:eastAsia="Times New Roman" w:cs="Times New Roman"/>
                <w:sz w:val="20"/>
                <w:szCs w:val="20"/>
                <w:lang w:eastAsia="en-GB"/>
              </w:rPr>
              <w:t>S</w:t>
            </w:r>
            <w:r w:rsidR="0018687F">
              <w:rPr>
                <w:rFonts w:eastAsia="Times New Roman" w:cs="Times New Roman"/>
                <w:sz w:val="20"/>
                <w:szCs w:val="20"/>
                <w:lang w:eastAsia="en-GB"/>
              </w:rPr>
              <w:t>outh Oxfordshire District Council</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Vale of White Horse District Council</w:t>
            </w:r>
          </w:p>
          <w:p w:rsidR="00155AA3" w:rsidRPr="0036555C" w:rsidRDefault="00155AA3" w:rsidP="0018687F">
            <w:pPr>
              <w:widowControl w:val="0"/>
              <w:spacing w:before="120" w:after="120"/>
              <w:rPr>
                <w:rFonts w:eastAsia="Times New Roman" w:cs="Times New Roman"/>
                <w:sz w:val="20"/>
                <w:szCs w:val="20"/>
                <w:lang w:eastAsia="en-GB"/>
              </w:rPr>
            </w:pPr>
            <w:r>
              <w:rPr>
                <w:rFonts w:eastAsia="Times New Roman" w:cs="Times New Roman"/>
                <w:sz w:val="20"/>
                <w:szCs w:val="20"/>
                <w:lang w:eastAsia="en-GB"/>
              </w:rPr>
              <w:t>W</w:t>
            </w:r>
            <w:r w:rsidR="0018687F">
              <w:rPr>
                <w:rFonts w:eastAsia="Times New Roman" w:cs="Times New Roman"/>
                <w:sz w:val="20"/>
                <w:szCs w:val="20"/>
                <w:lang w:eastAsia="en-GB"/>
              </w:rPr>
              <w:t>est Oxfordshire District Council</w:t>
            </w:r>
          </w:p>
        </w:tc>
        <w:tc>
          <w:tcPr>
            <w:tcW w:w="3796" w:type="dxa"/>
          </w:tcPr>
          <w:p w:rsidR="00F57323" w:rsidRDefault="00996D39" w:rsidP="001F550F">
            <w:pPr>
              <w:widowControl w:val="0"/>
              <w:spacing w:before="120" w:after="120"/>
              <w:rPr>
                <w:rFonts w:eastAsia="Times New Roman" w:cs="Times New Roman"/>
                <w:sz w:val="20"/>
                <w:szCs w:val="20"/>
                <w:lang w:eastAsia="en-GB"/>
              </w:rPr>
            </w:pPr>
            <w:r>
              <w:rPr>
                <w:rFonts w:eastAsia="Times New Roman" w:cs="Times New Roman"/>
                <w:sz w:val="20"/>
                <w:szCs w:val="20"/>
                <w:lang w:eastAsia="en-GB"/>
              </w:rPr>
              <w:t>Role as Local Planning Authorities (Districts) in approving and adopting Local Development Plans</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Budget commitment to the project period</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Overall project management through attendance at Project Board</w:t>
            </w:r>
          </w:p>
          <w:p w:rsidR="00155AA3" w:rsidRPr="007F60E6" w:rsidRDefault="00155AA3" w:rsidP="001F550F">
            <w:pPr>
              <w:widowControl w:val="0"/>
              <w:spacing w:before="120" w:after="120"/>
              <w:rPr>
                <w:rFonts w:eastAsia="Times New Roman" w:cs="Times New Roman"/>
                <w:sz w:val="20"/>
                <w:szCs w:val="20"/>
                <w:lang w:eastAsia="en-GB"/>
              </w:rPr>
            </w:pPr>
            <w:r w:rsidRPr="007F60E6">
              <w:rPr>
                <w:rFonts w:eastAsia="Times New Roman" w:cs="Times New Roman"/>
                <w:sz w:val="20"/>
                <w:szCs w:val="20"/>
                <w:lang w:eastAsia="en-GB"/>
              </w:rPr>
              <w:t xml:space="preserve">Scrutiny arrangements as appropriate </w:t>
            </w:r>
          </w:p>
          <w:p w:rsidR="00155AA3" w:rsidRPr="0036555C" w:rsidRDefault="00155AA3" w:rsidP="001F550F">
            <w:pPr>
              <w:widowControl w:val="0"/>
              <w:spacing w:before="120" w:after="120"/>
              <w:rPr>
                <w:rFonts w:eastAsia="Times New Roman" w:cs="Times New Roman"/>
                <w:sz w:val="20"/>
                <w:szCs w:val="20"/>
                <w:lang w:eastAsia="en-GB"/>
              </w:rPr>
            </w:pPr>
          </w:p>
        </w:tc>
      </w:tr>
    </w:tbl>
    <w:p w:rsidR="00ED57C1" w:rsidRPr="00FE5E2D" w:rsidRDefault="00372EFA" w:rsidP="00FE5E2D">
      <w:pPr>
        <w:keepNext/>
        <w:keepLines/>
        <w:spacing w:before="120" w:after="120"/>
        <w:outlineLvl w:val="1"/>
        <w:rPr>
          <w:rFonts w:eastAsiaTheme="majorEastAsia"/>
          <w:b/>
          <w:bCs/>
          <w:iCs/>
          <w:color w:val="000000" w:themeColor="text1"/>
          <w:u w:val="single"/>
        </w:rPr>
      </w:pPr>
      <w:r>
        <w:rPr>
          <w:rFonts w:eastAsiaTheme="majorEastAsia"/>
          <w:b/>
          <w:bCs/>
          <w:iCs/>
          <w:color w:val="000000" w:themeColor="text1"/>
          <w:u w:val="single"/>
        </w:rPr>
        <w:t>Project costs main elements</w:t>
      </w:r>
    </w:p>
    <w:p w:rsidR="00A0103E" w:rsidRPr="007059F3" w:rsidRDefault="00A0103E" w:rsidP="00A0103E">
      <w:pPr>
        <w:rPr>
          <w:sz w:val="22"/>
          <w:szCs w:val="22"/>
        </w:rPr>
      </w:pPr>
    </w:p>
    <w:p w:rsidR="00CC2BAF" w:rsidRDefault="00500B13" w:rsidP="00CC2BAF">
      <w:pPr>
        <w:pStyle w:val="ListParagraph"/>
        <w:numPr>
          <w:ilvl w:val="0"/>
          <w:numId w:val="48"/>
        </w:numPr>
        <w:rPr>
          <w:rFonts w:eastAsia="Calibri"/>
          <w:sz w:val="22"/>
          <w:szCs w:val="22"/>
        </w:rPr>
      </w:pPr>
      <w:r w:rsidRPr="00CC2BAF">
        <w:rPr>
          <w:sz w:val="22"/>
          <w:szCs w:val="22"/>
        </w:rPr>
        <w:t>The</w:t>
      </w:r>
      <w:r w:rsidRPr="007059F3">
        <w:rPr>
          <w:rFonts w:eastAsia="Calibri"/>
          <w:sz w:val="22"/>
          <w:szCs w:val="22"/>
        </w:rPr>
        <w:t xml:space="preserve"> requirement to keep local plans up-to-date and the timescales for review of the current adopted and emerging local plans across Oxfordshire has to assume a level of future financial commitment from all the councils. </w:t>
      </w:r>
      <w:r w:rsidR="00676C1B" w:rsidRPr="007059F3">
        <w:rPr>
          <w:rFonts w:eastAsia="Calibri"/>
          <w:sz w:val="22"/>
          <w:szCs w:val="22"/>
        </w:rPr>
        <w:t xml:space="preserve"> </w:t>
      </w:r>
      <w:r w:rsidRPr="007059F3">
        <w:rPr>
          <w:rFonts w:eastAsia="Calibri"/>
          <w:sz w:val="22"/>
          <w:szCs w:val="22"/>
        </w:rPr>
        <w:t xml:space="preserve">This business case is predicated upon there needing to be a future financial commitment, but seeks ways that the objective of delivering a different strategic planning approach with effective local plan-making can be combined with financial and procedural efficiencies for the benefit </w:t>
      </w:r>
      <w:r w:rsidR="007059F3" w:rsidRPr="007059F3">
        <w:rPr>
          <w:rFonts w:eastAsia="Calibri"/>
          <w:sz w:val="22"/>
          <w:szCs w:val="22"/>
        </w:rPr>
        <w:t>of all the councils.</w:t>
      </w:r>
    </w:p>
    <w:p w:rsidR="00CC2BAF" w:rsidRDefault="00CC2BAF" w:rsidP="00CC2BAF">
      <w:pPr>
        <w:pStyle w:val="ListParagraph"/>
        <w:ind w:left="360"/>
        <w:rPr>
          <w:rFonts w:eastAsia="Calibri"/>
          <w:sz w:val="22"/>
          <w:szCs w:val="22"/>
        </w:rPr>
      </w:pPr>
    </w:p>
    <w:p w:rsidR="00C87312" w:rsidRPr="00CC2BAF" w:rsidRDefault="00C87312" w:rsidP="00CC2BAF">
      <w:pPr>
        <w:pStyle w:val="ListParagraph"/>
        <w:numPr>
          <w:ilvl w:val="0"/>
          <w:numId w:val="48"/>
        </w:numPr>
        <w:rPr>
          <w:rFonts w:eastAsia="Calibri"/>
          <w:sz w:val="22"/>
          <w:szCs w:val="22"/>
        </w:rPr>
      </w:pPr>
      <w:r w:rsidRPr="00CC2BAF">
        <w:rPr>
          <w:rFonts w:eastAsia="Calibri"/>
          <w:sz w:val="22"/>
          <w:szCs w:val="22"/>
        </w:rPr>
        <w:t>The financial costs of the project fall into various categories:</w:t>
      </w:r>
    </w:p>
    <w:p w:rsidR="00C87312" w:rsidRPr="00C87312" w:rsidRDefault="00C87312" w:rsidP="00C87312">
      <w:pPr>
        <w:numPr>
          <w:ilvl w:val="0"/>
          <w:numId w:val="53"/>
        </w:numPr>
        <w:contextualSpacing/>
        <w:rPr>
          <w:rFonts w:eastAsia="Calibri"/>
          <w:sz w:val="22"/>
          <w:szCs w:val="22"/>
        </w:rPr>
      </w:pPr>
      <w:r w:rsidRPr="00C87312">
        <w:rPr>
          <w:rFonts w:eastAsia="Calibri"/>
          <w:sz w:val="22"/>
          <w:szCs w:val="22"/>
        </w:rPr>
        <w:t>The costs of the joint project team (including accommodation, IT support etc.)</w:t>
      </w:r>
    </w:p>
    <w:p w:rsidR="00C87312" w:rsidRPr="00C87312" w:rsidRDefault="00C87312" w:rsidP="00C87312">
      <w:pPr>
        <w:numPr>
          <w:ilvl w:val="0"/>
          <w:numId w:val="53"/>
        </w:numPr>
        <w:contextualSpacing/>
        <w:rPr>
          <w:rFonts w:eastAsia="Calibri"/>
          <w:sz w:val="22"/>
          <w:szCs w:val="22"/>
        </w:rPr>
      </w:pPr>
      <w:r w:rsidRPr="00C87312">
        <w:rPr>
          <w:rFonts w:eastAsia="Calibri"/>
          <w:sz w:val="22"/>
          <w:szCs w:val="22"/>
        </w:rPr>
        <w:t>The costs of the evidence base, including a new housing need assessment, specialist consultant advice and expertise, legal advice and some transport modelling</w:t>
      </w:r>
    </w:p>
    <w:p w:rsidR="00C87312" w:rsidRPr="00C87312" w:rsidRDefault="00C87312" w:rsidP="00C87312">
      <w:pPr>
        <w:numPr>
          <w:ilvl w:val="0"/>
          <w:numId w:val="53"/>
        </w:numPr>
        <w:contextualSpacing/>
        <w:rPr>
          <w:rFonts w:eastAsia="Calibri"/>
          <w:sz w:val="22"/>
          <w:szCs w:val="22"/>
        </w:rPr>
      </w:pPr>
      <w:r w:rsidRPr="00C87312">
        <w:rPr>
          <w:rFonts w:eastAsia="Calibri"/>
          <w:sz w:val="22"/>
          <w:szCs w:val="22"/>
        </w:rPr>
        <w:t>Consultation and if statutory examination and adoption costs</w:t>
      </w:r>
    </w:p>
    <w:p w:rsidR="008D72FD" w:rsidRPr="007059F3" w:rsidRDefault="008D72FD" w:rsidP="008D72FD">
      <w:pPr>
        <w:rPr>
          <w:sz w:val="22"/>
          <w:szCs w:val="22"/>
        </w:rPr>
      </w:pPr>
    </w:p>
    <w:p w:rsidR="007059F3" w:rsidRPr="007059F3" w:rsidRDefault="00E16056" w:rsidP="008D72FD">
      <w:pPr>
        <w:rPr>
          <w:i/>
          <w:sz w:val="22"/>
          <w:szCs w:val="22"/>
        </w:rPr>
      </w:pPr>
      <w:r>
        <w:rPr>
          <w:rFonts w:eastAsia="Times New Roman"/>
          <w:b/>
          <w:bCs/>
          <w:i/>
          <w:iCs/>
          <w:sz w:val="22"/>
          <w:szCs w:val="22"/>
          <w:lang w:eastAsia="en-GB"/>
        </w:rPr>
        <w:t>Project team</w:t>
      </w:r>
      <w:r w:rsidR="007059F3" w:rsidRPr="007059F3">
        <w:rPr>
          <w:rFonts w:eastAsia="Times New Roman"/>
          <w:b/>
          <w:bCs/>
          <w:i/>
          <w:iCs/>
          <w:sz w:val="22"/>
          <w:szCs w:val="22"/>
          <w:lang w:eastAsia="en-GB"/>
        </w:rPr>
        <w:t xml:space="preserve"> &amp; governance costs</w:t>
      </w:r>
    </w:p>
    <w:p w:rsidR="007059F3" w:rsidRPr="007059F3" w:rsidRDefault="007059F3" w:rsidP="008D72FD">
      <w:pPr>
        <w:rPr>
          <w:sz w:val="22"/>
          <w:szCs w:val="22"/>
        </w:rPr>
      </w:pPr>
    </w:p>
    <w:p w:rsidR="007059F3" w:rsidRPr="007059F3" w:rsidRDefault="007059F3" w:rsidP="00CC2BAF">
      <w:pPr>
        <w:pStyle w:val="ListParagraph"/>
        <w:numPr>
          <w:ilvl w:val="0"/>
          <w:numId w:val="48"/>
        </w:numPr>
        <w:rPr>
          <w:sz w:val="22"/>
          <w:szCs w:val="22"/>
        </w:rPr>
      </w:pPr>
      <w:r w:rsidRPr="007059F3">
        <w:rPr>
          <w:sz w:val="22"/>
          <w:szCs w:val="22"/>
        </w:rPr>
        <w:t>The length and complexity of the project coupled with the work still being undertaken on local plans across the districts means that the project cannot be undertaken alongside the current planning policy work being undertaken by the councils and additional resources and capacity will need to be put in place to deliver the JSP.</w:t>
      </w:r>
    </w:p>
    <w:p w:rsidR="007059F3" w:rsidRPr="007059F3" w:rsidRDefault="007059F3" w:rsidP="008D72FD">
      <w:pPr>
        <w:rPr>
          <w:sz w:val="22"/>
          <w:szCs w:val="22"/>
        </w:rPr>
      </w:pPr>
    </w:p>
    <w:p w:rsidR="008D72FD" w:rsidRPr="007059F3" w:rsidRDefault="008D72FD" w:rsidP="00CC2BAF">
      <w:pPr>
        <w:pStyle w:val="ListParagraph"/>
        <w:numPr>
          <w:ilvl w:val="0"/>
          <w:numId w:val="48"/>
        </w:numPr>
        <w:rPr>
          <w:sz w:val="22"/>
          <w:szCs w:val="22"/>
        </w:rPr>
      </w:pPr>
      <w:r w:rsidRPr="00CC2BAF">
        <w:rPr>
          <w:rFonts w:eastAsia="Calibri"/>
          <w:sz w:val="22"/>
          <w:szCs w:val="22"/>
        </w:rPr>
        <w:t>The</w:t>
      </w:r>
      <w:r w:rsidRPr="007059F3">
        <w:rPr>
          <w:sz w:val="22"/>
          <w:szCs w:val="22"/>
        </w:rPr>
        <w:t xml:space="preserve"> business case pre-supposes that the level of resource required that the level of staffing would be similar for either the statutory or the non-statutory route with the costs differences mainly attributed to the longer project timeline for a statutory plan.</w:t>
      </w:r>
    </w:p>
    <w:p w:rsidR="008D72FD" w:rsidRPr="007059F3" w:rsidRDefault="008D72FD" w:rsidP="008D72FD">
      <w:pPr>
        <w:rPr>
          <w:sz w:val="22"/>
          <w:szCs w:val="22"/>
        </w:rPr>
      </w:pPr>
    </w:p>
    <w:p w:rsidR="00EC0F63" w:rsidRPr="007059F3" w:rsidRDefault="002236C3" w:rsidP="00EC0F63">
      <w:pPr>
        <w:keepNext/>
        <w:keepLines/>
        <w:spacing w:before="120" w:after="120"/>
        <w:outlineLvl w:val="1"/>
        <w:rPr>
          <w:rFonts w:eastAsiaTheme="majorEastAsia"/>
          <w:b/>
          <w:bCs/>
          <w:i/>
          <w:iCs/>
          <w:sz w:val="22"/>
          <w:szCs w:val="22"/>
        </w:rPr>
      </w:pPr>
      <w:r w:rsidRPr="007059F3">
        <w:rPr>
          <w:rFonts w:eastAsiaTheme="majorEastAsia"/>
          <w:b/>
          <w:bCs/>
          <w:i/>
          <w:iCs/>
          <w:sz w:val="22"/>
          <w:szCs w:val="22"/>
        </w:rPr>
        <w:t xml:space="preserve">Evidence base </w:t>
      </w:r>
      <w:r w:rsidR="00344F98" w:rsidRPr="007059F3">
        <w:rPr>
          <w:rFonts w:eastAsiaTheme="majorEastAsia"/>
          <w:b/>
          <w:bCs/>
          <w:i/>
          <w:iCs/>
          <w:sz w:val="22"/>
          <w:szCs w:val="22"/>
        </w:rPr>
        <w:t>and specialist consultant advice</w:t>
      </w:r>
    </w:p>
    <w:p w:rsidR="008D72FD" w:rsidRDefault="00EC0F63" w:rsidP="00CC2BAF">
      <w:pPr>
        <w:pStyle w:val="ListParagraph"/>
        <w:numPr>
          <w:ilvl w:val="0"/>
          <w:numId w:val="48"/>
        </w:numPr>
        <w:rPr>
          <w:rFonts w:eastAsiaTheme="majorEastAsia"/>
          <w:bCs/>
          <w:iCs/>
          <w:sz w:val="22"/>
          <w:szCs w:val="22"/>
        </w:rPr>
      </w:pPr>
      <w:r w:rsidRPr="007059F3">
        <w:rPr>
          <w:rFonts w:eastAsiaTheme="majorEastAsia"/>
          <w:bCs/>
          <w:iCs/>
          <w:sz w:val="22"/>
          <w:szCs w:val="22"/>
        </w:rPr>
        <w:t xml:space="preserve">The project will require a robust evidence base to withstand interrogation at examination, regardless of the statutory status of the JSP. </w:t>
      </w:r>
      <w:r w:rsidR="00560B01" w:rsidRPr="007059F3">
        <w:rPr>
          <w:rFonts w:eastAsiaTheme="majorEastAsia"/>
          <w:bCs/>
          <w:iCs/>
          <w:sz w:val="22"/>
          <w:szCs w:val="22"/>
        </w:rPr>
        <w:t xml:space="preserve"> </w:t>
      </w:r>
      <w:r w:rsidRPr="007059F3">
        <w:rPr>
          <w:rFonts w:eastAsiaTheme="majorEastAsia"/>
          <w:bCs/>
          <w:iCs/>
          <w:sz w:val="22"/>
          <w:szCs w:val="22"/>
        </w:rPr>
        <w:t xml:space="preserve">Officers have </w:t>
      </w:r>
      <w:r w:rsidR="0017549F">
        <w:rPr>
          <w:rFonts w:eastAsiaTheme="majorEastAsia"/>
          <w:bCs/>
          <w:iCs/>
          <w:sz w:val="22"/>
          <w:szCs w:val="22"/>
        </w:rPr>
        <w:t>calculated the costs</w:t>
      </w:r>
      <w:r w:rsidRPr="007059F3">
        <w:rPr>
          <w:rFonts w:eastAsiaTheme="majorEastAsia"/>
          <w:bCs/>
          <w:iCs/>
          <w:sz w:val="22"/>
          <w:szCs w:val="22"/>
        </w:rPr>
        <w:t xml:space="preserve"> including the production of a new SHMA and transport modelling.  </w:t>
      </w:r>
      <w:r w:rsidR="00687681" w:rsidRPr="007059F3">
        <w:rPr>
          <w:rFonts w:eastAsiaTheme="majorEastAsia"/>
          <w:bCs/>
          <w:iCs/>
          <w:sz w:val="22"/>
          <w:szCs w:val="22"/>
        </w:rPr>
        <w:t xml:space="preserve">These costs would be incurred even if a JSP were not being pursued since </w:t>
      </w:r>
      <w:r w:rsidR="00216C42" w:rsidRPr="007059F3">
        <w:rPr>
          <w:rFonts w:eastAsiaTheme="majorEastAsia"/>
          <w:bCs/>
          <w:iCs/>
          <w:sz w:val="22"/>
          <w:szCs w:val="22"/>
        </w:rPr>
        <w:t>Oxfordshire authorities</w:t>
      </w:r>
      <w:r w:rsidR="00687681" w:rsidRPr="007059F3">
        <w:rPr>
          <w:rFonts w:eastAsiaTheme="majorEastAsia"/>
          <w:bCs/>
          <w:iCs/>
          <w:sz w:val="22"/>
          <w:szCs w:val="22"/>
        </w:rPr>
        <w:t xml:space="preserve"> will need to do this work collectively in light of national changes to calculating housing need.</w:t>
      </w:r>
    </w:p>
    <w:p w:rsidR="00CC2BAF" w:rsidRPr="00CC2BAF" w:rsidRDefault="00CC2BAF" w:rsidP="00CC2BAF">
      <w:pPr>
        <w:pStyle w:val="ListParagraph"/>
        <w:keepNext/>
        <w:keepLines/>
        <w:spacing w:before="120" w:after="120"/>
        <w:ind w:left="360"/>
        <w:outlineLvl w:val="1"/>
        <w:rPr>
          <w:rFonts w:eastAsiaTheme="majorEastAsia"/>
          <w:bCs/>
          <w:iCs/>
          <w:sz w:val="22"/>
          <w:szCs w:val="22"/>
        </w:rPr>
      </w:pPr>
    </w:p>
    <w:p w:rsidR="00560B01" w:rsidRPr="007059F3" w:rsidRDefault="00560B01" w:rsidP="00CC2BAF">
      <w:pPr>
        <w:pStyle w:val="ListParagraph"/>
        <w:numPr>
          <w:ilvl w:val="0"/>
          <w:numId w:val="48"/>
        </w:numPr>
        <w:rPr>
          <w:rFonts w:eastAsiaTheme="majorEastAsia"/>
          <w:bCs/>
          <w:iCs/>
          <w:sz w:val="22"/>
          <w:szCs w:val="22"/>
        </w:rPr>
      </w:pPr>
      <w:r w:rsidRPr="00CC2BAF">
        <w:rPr>
          <w:sz w:val="22"/>
          <w:szCs w:val="22"/>
        </w:rPr>
        <w:t>The</w:t>
      </w:r>
      <w:r w:rsidRPr="007059F3">
        <w:rPr>
          <w:rFonts w:eastAsiaTheme="majorEastAsia"/>
          <w:bCs/>
          <w:iCs/>
          <w:sz w:val="22"/>
          <w:szCs w:val="22"/>
        </w:rPr>
        <w:t xml:space="preserve"> business case concludes that whilst the project team will complete the bulk of the work, specialists in preparing the evidence base and other specialist roles will be required to supplement the team resources.</w:t>
      </w:r>
    </w:p>
    <w:p w:rsidR="00560B01" w:rsidRPr="007059F3" w:rsidRDefault="00560B01" w:rsidP="00560B01">
      <w:pPr>
        <w:rPr>
          <w:sz w:val="22"/>
          <w:szCs w:val="22"/>
        </w:rPr>
      </w:pPr>
    </w:p>
    <w:p w:rsidR="00560B01" w:rsidRPr="007059F3" w:rsidRDefault="00560B01" w:rsidP="00CC2BAF">
      <w:pPr>
        <w:pStyle w:val="ListParagraph"/>
        <w:numPr>
          <w:ilvl w:val="0"/>
          <w:numId w:val="48"/>
        </w:numPr>
        <w:rPr>
          <w:rFonts w:eastAsiaTheme="majorEastAsia"/>
          <w:bCs/>
          <w:iCs/>
          <w:sz w:val="22"/>
          <w:szCs w:val="22"/>
        </w:rPr>
      </w:pPr>
      <w:r w:rsidRPr="007059F3">
        <w:rPr>
          <w:rFonts w:eastAsiaTheme="majorEastAsia"/>
          <w:bCs/>
          <w:iCs/>
          <w:sz w:val="22"/>
          <w:szCs w:val="22"/>
        </w:rPr>
        <w:t xml:space="preserve">In addition, a best practice approach would include the engagement of a critical friend who would provide a sounding board and independent technical advice as required by the project. </w:t>
      </w:r>
      <w:r w:rsidR="006E618D" w:rsidRPr="007059F3">
        <w:rPr>
          <w:rFonts w:eastAsiaTheme="majorEastAsia"/>
          <w:bCs/>
          <w:iCs/>
          <w:sz w:val="22"/>
          <w:szCs w:val="22"/>
        </w:rPr>
        <w:t xml:space="preserve"> </w:t>
      </w:r>
      <w:r w:rsidRPr="007059F3">
        <w:rPr>
          <w:rFonts w:eastAsiaTheme="majorEastAsia"/>
          <w:bCs/>
          <w:iCs/>
          <w:sz w:val="22"/>
          <w:szCs w:val="22"/>
        </w:rPr>
        <w:t>This approach was used successfully during both the Green Belt review and the post SHMA project and assisted in ensuring a high quality product.</w:t>
      </w:r>
      <w:r w:rsidR="0024608C" w:rsidRPr="007059F3">
        <w:rPr>
          <w:rFonts w:eastAsiaTheme="majorEastAsia"/>
          <w:bCs/>
          <w:iCs/>
          <w:sz w:val="22"/>
          <w:szCs w:val="22"/>
        </w:rPr>
        <w:t xml:space="preserve"> If the Growth Board applied this approach to future joint work on a new SHMA and modelling, it is likely that a good proportion of these costs would be incurred even in the absence of a JSP.</w:t>
      </w:r>
    </w:p>
    <w:p w:rsidR="00560B01" w:rsidRPr="007059F3" w:rsidRDefault="00560B01" w:rsidP="00344F98">
      <w:pPr>
        <w:rPr>
          <w:rFonts w:eastAsiaTheme="majorEastAsia"/>
          <w:bCs/>
          <w:iCs/>
          <w:sz w:val="22"/>
          <w:szCs w:val="22"/>
        </w:rPr>
      </w:pPr>
    </w:p>
    <w:p w:rsidR="00560B01" w:rsidRPr="007059F3" w:rsidRDefault="006E618D" w:rsidP="00CC2BAF">
      <w:pPr>
        <w:pStyle w:val="ListParagraph"/>
        <w:numPr>
          <w:ilvl w:val="0"/>
          <w:numId w:val="48"/>
        </w:numPr>
        <w:rPr>
          <w:rFonts w:eastAsiaTheme="majorEastAsia"/>
          <w:bCs/>
          <w:iCs/>
          <w:sz w:val="22"/>
          <w:szCs w:val="22"/>
        </w:rPr>
      </w:pPr>
      <w:r w:rsidRPr="007059F3">
        <w:rPr>
          <w:rFonts w:eastAsiaTheme="majorEastAsia"/>
          <w:bCs/>
          <w:iCs/>
          <w:sz w:val="22"/>
          <w:szCs w:val="22"/>
        </w:rPr>
        <w:t xml:space="preserve">There is no difference </w:t>
      </w:r>
      <w:r w:rsidR="00560B01" w:rsidRPr="007059F3">
        <w:rPr>
          <w:rFonts w:eastAsiaTheme="majorEastAsia"/>
          <w:bCs/>
          <w:iCs/>
          <w:sz w:val="22"/>
          <w:szCs w:val="22"/>
        </w:rPr>
        <w:t>between the possible call on this budget dependent upon a statutory or non-statutory plan</w:t>
      </w:r>
      <w:r w:rsidRPr="007059F3">
        <w:rPr>
          <w:rFonts w:eastAsiaTheme="majorEastAsia"/>
          <w:bCs/>
          <w:iCs/>
          <w:sz w:val="22"/>
          <w:szCs w:val="22"/>
        </w:rPr>
        <w:t>, so the costs are the same</w:t>
      </w:r>
      <w:r w:rsidR="00560B01" w:rsidRPr="007059F3">
        <w:rPr>
          <w:rFonts w:eastAsiaTheme="majorEastAsia"/>
          <w:bCs/>
          <w:iCs/>
          <w:sz w:val="22"/>
          <w:szCs w:val="22"/>
        </w:rPr>
        <w:t>.</w:t>
      </w:r>
    </w:p>
    <w:p w:rsidR="00F052D0" w:rsidRPr="007059F3" w:rsidRDefault="00F052D0" w:rsidP="00F052D0">
      <w:pPr>
        <w:rPr>
          <w:sz w:val="22"/>
          <w:szCs w:val="22"/>
        </w:rPr>
      </w:pPr>
    </w:p>
    <w:p w:rsidR="0057379D" w:rsidRPr="007059F3" w:rsidRDefault="0057379D" w:rsidP="0057379D">
      <w:pPr>
        <w:keepNext/>
        <w:keepLines/>
        <w:spacing w:before="120" w:after="120"/>
        <w:outlineLvl w:val="1"/>
        <w:rPr>
          <w:rFonts w:eastAsiaTheme="majorEastAsia"/>
          <w:b/>
          <w:bCs/>
          <w:i/>
          <w:iCs/>
          <w:sz w:val="22"/>
          <w:szCs w:val="22"/>
        </w:rPr>
      </w:pPr>
      <w:r w:rsidRPr="007059F3">
        <w:rPr>
          <w:rFonts w:eastAsiaTheme="majorEastAsia"/>
          <w:b/>
          <w:bCs/>
          <w:i/>
          <w:iCs/>
          <w:sz w:val="22"/>
          <w:szCs w:val="22"/>
        </w:rPr>
        <w:t>Consultation and adoption costs</w:t>
      </w:r>
    </w:p>
    <w:p w:rsidR="0057379D" w:rsidRPr="007059F3" w:rsidRDefault="0057379D" w:rsidP="00CC2BAF">
      <w:pPr>
        <w:pStyle w:val="ListParagraph"/>
        <w:numPr>
          <w:ilvl w:val="0"/>
          <w:numId w:val="48"/>
        </w:numPr>
        <w:rPr>
          <w:rFonts w:eastAsiaTheme="majorEastAsia"/>
          <w:bCs/>
          <w:iCs/>
          <w:sz w:val="22"/>
          <w:szCs w:val="22"/>
        </w:rPr>
      </w:pPr>
      <w:r w:rsidRPr="007059F3">
        <w:rPr>
          <w:rFonts w:eastAsiaTheme="majorEastAsia"/>
          <w:bCs/>
          <w:iCs/>
          <w:sz w:val="22"/>
          <w:szCs w:val="22"/>
        </w:rPr>
        <w:t>Specialist consultation assistance will be required at key points in the JSP’s development. This will include advertising, social media, the compilation and printing of all documents as well as workshops or presentations to key stakeholders and the public.</w:t>
      </w:r>
    </w:p>
    <w:p w:rsidR="0057379D" w:rsidRPr="007059F3" w:rsidRDefault="0057379D" w:rsidP="0057379D">
      <w:pPr>
        <w:pStyle w:val="ListParagraph"/>
        <w:keepNext/>
        <w:keepLines/>
        <w:spacing w:before="120" w:after="120"/>
        <w:ind w:left="360"/>
        <w:outlineLvl w:val="1"/>
        <w:rPr>
          <w:rFonts w:eastAsiaTheme="majorEastAsia"/>
          <w:bCs/>
          <w:iCs/>
          <w:sz w:val="22"/>
          <w:szCs w:val="22"/>
        </w:rPr>
      </w:pPr>
      <w:r w:rsidRPr="007059F3">
        <w:rPr>
          <w:rFonts w:eastAsiaTheme="majorEastAsia"/>
          <w:bCs/>
          <w:iCs/>
          <w:sz w:val="22"/>
          <w:szCs w:val="22"/>
        </w:rPr>
        <w:t xml:space="preserve"> </w:t>
      </w:r>
    </w:p>
    <w:p w:rsidR="0057379D" w:rsidRPr="007059F3" w:rsidRDefault="0057379D" w:rsidP="00CC2BAF">
      <w:pPr>
        <w:pStyle w:val="ListParagraph"/>
        <w:numPr>
          <w:ilvl w:val="0"/>
          <w:numId w:val="48"/>
        </w:numPr>
        <w:rPr>
          <w:rFonts w:eastAsiaTheme="majorEastAsia"/>
          <w:bCs/>
          <w:iCs/>
          <w:sz w:val="22"/>
          <w:szCs w:val="22"/>
        </w:rPr>
      </w:pPr>
      <w:r w:rsidRPr="007059F3">
        <w:rPr>
          <w:rFonts w:eastAsiaTheme="majorEastAsia"/>
          <w:bCs/>
          <w:iCs/>
          <w:sz w:val="22"/>
          <w:szCs w:val="22"/>
        </w:rPr>
        <w:t>The business case assumes that the non-statutory route would exclude the final (Regulation 19) stage of consultation and the examination costs.</w:t>
      </w:r>
    </w:p>
    <w:p w:rsidR="0057379D" w:rsidRPr="007059F3" w:rsidRDefault="0057379D" w:rsidP="0057379D">
      <w:pPr>
        <w:pStyle w:val="ListParagraph"/>
        <w:keepNext/>
        <w:keepLines/>
        <w:spacing w:before="120" w:after="120"/>
        <w:ind w:left="360"/>
        <w:outlineLvl w:val="1"/>
        <w:rPr>
          <w:rFonts w:eastAsiaTheme="majorEastAsia"/>
          <w:bCs/>
          <w:iCs/>
          <w:sz w:val="22"/>
          <w:szCs w:val="22"/>
        </w:rPr>
      </w:pPr>
    </w:p>
    <w:p w:rsidR="0057379D" w:rsidRPr="007059F3" w:rsidRDefault="0057379D" w:rsidP="00CC2BAF">
      <w:pPr>
        <w:pStyle w:val="ListParagraph"/>
        <w:numPr>
          <w:ilvl w:val="0"/>
          <w:numId w:val="48"/>
        </w:numPr>
        <w:rPr>
          <w:rFonts w:eastAsiaTheme="majorEastAsia"/>
          <w:bCs/>
          <w:iCs/>
          <w:sz w:val="22"/>
          <w:szCs w:val="22"/>
        </w:rPr>
      </w:pPr>
      <w:r w:rsidRPr="007059F3">
        <w:rPr>
          <w:rFonts w:eastAsiaTheme="majorEastAsia"/>
          <w:bCs/>
          <w:iCs/>
          <w:sz w:val="22"/>
          <w:szCs w:val="22"/>
        </w:rPr>
        <w:t>If the plan were to take the statutory route then there will be significant adoption costs, including the legal costs of preparing for examination and all associated costs including the examination programme officer in 2020/21, counsel</w:t>
      </w:r>
      <w:r w:rsidR="00C2341A">
        <w:rPr>
          <w:rFonts w:eastAsiaTheme="majorEastAsia"/>
          <w:bCs/>
          <w:iCs/>
          <w:sz w:val="22"/>
          <w:szCs w:val="22"/>
        </w:rPr>
        <w:t>,</w:t>
      </w:r>
      <w:r w:rsidRPr="007059F3">
        <w:rPr>
          <w:rFonts w:eastAsiaTheme="majorEastAsia"/>
          <w:bCs/>
          <w:iCs/>
          <w:sz w:val="22"/>
          <w:szCs w:val="22"/>
        </w:rPr>
        <w:t xml:space="preserve"> and venue costs that will occur in the latter stages of the Project.</w:t>
      </w:r>
      <w:r w:rsidR="00500B13" w:rsidRPr="007059F3">
        <w:rPr>
          <w:rFonts w:eastAsiaTheme="majorEastAsia"/>
          <w:bCs/>
          <w:iCs/>
          <w:sz w:val="22"/>
          <w:szCs w:val="22"/>
        </w:rPr>
        <w:t xml:space="preserve"> These costs however would result in subsequent savings to the districts in the preparation of the residual local plans because they would need less strategic level content as a result.</w:t>
      </w:r>
    </w:p>
    <w:p w:rsidR="0057379D" w:rsidRPr="007059F3" w:rsidRDefault="0057379D" w:rsidP="0057379D">
      <w:pPr>
        <w:rPr>
          <w:sz w:val="22"/>
          <w:szCs w:val="22"/>
        </w:rPr>
      </w:pPr>
    </w:p>
    <w:p w:rsidR="008F3096" w:rsidRPr="00463965" w:rsidRDefault="00F14522" w:rsidP="00CC6F91">
      <w:pPr>
        <w:keepNext/>
        <w:keepLines/>
        <w:spacing w:before="120" w:after="120"/>
        <w:outlineLvl w:val="1"/>
        <w:rPr>
          <w:rFonts w:eastAsiaTheme="majorEastAsia"/>
          <w:b/>
          <w:bCs/>
          <w:i/>
          <w:iCs/>
          <w:sz w:val="22"/>
          <w:szCs w:val="22"/>
        </w:rPr>
      </w:pPr>
      <w:r w:rsidRPr="00463965">
        <w:rPr>
          <w:rFonts w:eastAsiaTheme="majorEastAsia"/>
          <w:b/>
          <w:bCs/>
          <w:i/>
          <w:iCs/>
          <w:sz w:val="22"/>
          <w:szCs w:val="22"/>
        </w:rPr>
        <w:t>Total c</w:t>
      </w:r>
      <w:r w:rsidR="008F3096" w:rsidRPr="00463965">
        <w:rPr>
          <w:rFonts w:eastAsiaTheme="majorEastAsia"/>
          <w:b/>
          <w:bCs/>
          <w:i/>
          <w:iCs/>
          <w:sz w:val="22"/>
          <w:szCs w:val="22"/>
        </w:rPr>
        <w:t>osts</w:t>
      </w:r>
    </w:p>
    <w:p w:rsidR="00636200" w:rsidRDefault="00E256C5" w:rsidP="00CC2BAF">
      <w:pPr>
        <w:pStyle w:val="ListParagraph"/>
        <w:numPr>
          <w:ilvl w:val="0"/>
          <w:numId w:val="48"/>
        </w:numPr>
        <w:rPr>
          <w:rFonts w:eastAsiaTheme="majorEastAsia"/>
          <w:bCs/>
          <w:iCs/>
          <w:sz w:val="22"/>
          <w:szCs w:val="22"/>
        </w:rPr>
      </w:pPr>
      <w:r>
        <w:rPr>
          <w:rFonts w:eastAsiaTheme="majorEastAsia"/>
          <w:bCs/>
          <w:iCs/>
          <w:sz w:val="22"/>
          <w:szCs w:val="22"/>
        </w:rPr>
        <w:t xml:space="preserve">The estimated costs of a </w:t>
      </w:r>
      <w:r w:rsidRPr="00382680">
        <w:rPr>
          <w:rFonts w:eastAsiaTheme="majorEastAsia"/>
          <w:bCs/>
          <w:iCs/>
          <w:sz w:val="22"/>
          <w:szCs w:val="22"/>
          <w:u w:val="single"/>
        </w:rPr>
        <w:t>Statutory Plan</w:t>
      </w:r>
      <w:r w:rsidR="00636200" w:rsidRPr="00CC6F91">
        <w:rPr>
          <w:rFonts w:eastAsiaTheme="majorEastAsia"/>
          <w:bCs/>
          <w:iCs/>
          <w:sz w:val="22"/>
          <w:szCs w:val="22"/>
        </w:rPr>
        <w:t xml:space="preserve"> are as follows:</w:t>
      </w:r>
    </w:p>
    <w:p w:rsidR="00CC2BAF" w:rsidRPr="00CC6F91" w:rsidRDefault="00CC2BAF" w:rsidP="00CC2BAF">
      <w:pPr>
        <w:pStyle w:val="ListParagraph"/>
        <w:ind w:left="360"/>
        <w:rPr>
          <w:rFonts w:eastAsiaTheme="majorEastAsia"/>
          <w:bCs/>
          <w:iCs/>
          <w:sz w:val="22"/>
          <w:szCs w:val="22"/>
        </w:rPr>
      </w:pPr>
    </w:p>
    <w:tbl>
      <w:tblPr>
        <w:tblStyle w:val="TableGrid"/>
        <w:tblW w:w="8647" w:type="dxa"/>
        <w:tblInd w:w="108" w:type="dxa"/>
        <w:tblLook w:val="04A0" w:firstRow="1" w:lastRow="0" w:firstColumn="1" w:lastColumn="0" w:noHBand="0" w:noVBand="1"/>
      </w:tblPr>
      <w:tblGrid>
        <w:gridCol w:w="1645"/>
        <w:gridCol w:w="1012"/>
        <w:gridCol w:w="1233"/>
        <w:gridCol w:w="1286"/>
        <w:gridCol w:w="1473"/>
        <w:gridCol w:w="1998"/>
      </w:tblGrid>
      <w:tr w:rsidR="00E256C5" w:rsidRPr="00ED57C1" w:rsidTr="00CC2BAF">
        <w:tc>
          <w:tcPr>
            <w:tcW w:w="1645" w:type="dxa"/>
            <w:shd w:val="clear" w:color="auto" w:fill="A6A6A6" w:themeFill="background1" w:themeFillShade="A6"/>
          </w:tcPr>
          <w:p w:rsidR="00462E5E" w:rsidRPr="00ED57C1" w:rsidRDefault="00462E5E" w:rsidP="008427A0">
            <w:pPr>
              <w:tabs>
                <w:tab w:val="left" w:pos="567"/>
                <w:tab w:val="right" w:pos="9338"/>
              </w:tabs>
              <w:spacing w:before="120" w:after="120" w:line="240" w:lineRule="exact"/>
              <w:jc w:val="both"/>
              <w:rPr>
                <w:rFonts w:eastAsia="Times New Roman"/>
                <w:b/>
                <w:bCs/>
                <w:iCs/>
                <w:sz w:val="22"/>
                <w:szCs w:val="22"/>
                <w:lang w:eastAsia="en-GB"/>
              </w:rPr>
            </w:pPr>
          </w:p>
        </w:tc>
        <w:tc>
          <w:tcPr>
            <w:tcW w:w="1012" w:type="dxa"/>
            <w:shd w:val="clear" w:color="auto" w:fill="A6A6A6" w:themeFill="background1" w:themeFillShade="A6"/>
          </w:tcPr>
          <w:p w:rsidR="00462E5E" w:rsidRPr="00ED57C1" w:rsidRDefault="00462E5E" w:rsidP="008427A0">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2017/18</w:t>
            </w:r>
          </w:p>
        </w:tc>
        <w:tc>
          <w:tcPr>
            <w:tcW w:w="1233" w:type="dxa"/>
            <w:shd w:val="clear" w:color="auto" w:fill="A6A6A6" w:themeFill="background1" w:themeFillShade="A6"/>
          </w:tcPr>
          <w:p w:rsidR="00462E5E" w:rsidRPr="00ED57C1" w:rsidRDefault="00462E5E" w:rsidP="008427A0">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2018/19</w:t>
            </w:r>
          </w:p>
        </w:tc>
        <w:tc>
          <w:tcPr>
            <w:tcW w:w="1286" w:type="dxa"/>
            <w:shd w:val="clear" w:color="auto" w:fill="A6A6A6" w:themeFill="background1" w:themeFillShade="A6"/>
          </w:tcPr>
          <w:p w:rsidR="00462E5E" w:rsidRPr="00ED57C1" w:rsidRDefault="00462E5E" w:rsidP="008427A0">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2019/20</w:t>
            </w:r>
          </w:p>
        </w:tc>
        <w:tc>
          <w:tcPr>
            <w:tcW w:w="1473" w:type="dxa"/>
            <w:shd w:val="clear" w:color="auto" w:fill="A6A6A6" w:themeFill="background1" w:themeFillShade="A6"/>
          </w:tcPr>
          <w:p w:rsidR="00462E5E" w:rsidRPr="00ED57C1" w:rsidRDefault="00462E5E" w:rsidP="00462E5E">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202</w:t>
            </w:r>
            <w:r>
              <w:rPr>
                <w:rFonts w:eastAsia="Times New Roman"/>
                <w:b/>
                <w:bCs/>
                <w:iCs/>
                <w:sz w:val="22"/>
                <w:szCs w:val="22"/>
                <w:lang w:eastAsia="en-GB"/>
              </w:rPr>
              <w:t>0</w:t>
            </w:r>
            <w:r w:rsidRPr="00ED57C1">
              <w:rPr>
                <w:rFonts w:eastAsia="Times New Roman"/>
                <w:b/>
                <w:bCs/>
                <w:iCs/>
                <w:sz w:val="22"/>
                <w:szCs w:val="22"/>
                <w:lang w:eastAsia="en-GB"/>
              </w:rPr>
              <w:t>/2</w:t>
            </w:r>
            <w:r>
              <w:rPr>
                <w:rFonts w:eastAsia="Times New Roman"/>
                <w:b/>
                <w:bCs/>
                <w:iCs/>
                <w:sz w:val="22"/>
                <w:szCs w:val="22"/>
                <w:lang w:eastAsia="en-GB"/>
              </w:rPr>
              <w:t>1</w:t>
            </w:r>
          </w:p>
        </w:tc>
        <w:tc>
          <w:tcPr>
            <w:tcW w:w="1998" w:type="dxa"/>
            <w:shd w:val="clear" w:color="auto" w:fill="A6A6A6" w:themeFill="background1" w:themeFillShade="A6"/>
          </w:tcPr>
          <w:p w:rsidR="00462E5E" w:rsidRPr="00ED57C1" w:rsidRDefault="00462E5E" w:rsidP="008427A0">
            <w:pPr>
              <w:tabs>
                <w:tab w:val="left" w:pos="567"/>
                <w:tab w:val="right" w:pos="9338"/>
              </w:tabs>
              <w:spacing w:before="120" w:after="120" w:line="240" w:lineRule="exact"/>
              <w:jc w:val="center"/>
              <w:rPr>
                <w:rFonts w:eastAsia="Times New Roman"/>
                <w:b/>
                <w:bCs/>
                <w:iCs/>
                <w:sz w:val="22"/>
                <w:szCs w:val="22"/>
                <w:lang w:eastAsia="en-GB"/>
              </w:rPr>
            </w:pPr>
            <w:r>
              <w:rPr>
                <w:rFonts w:eastAsia="Times New Roman"/>
                <w:b/>
                <w:bCs/>
                <w:iCs/>
                <w:sz w:val="22"/>
                <w:szCs w:val="22"/>
                <w:lang w:eastAsia="en-GB"/>
              </w:rPr>
              <w:t>Total project costs</w:t>
            </w:r>
          </w:p>
        </w:tc>
      </w:tr>
      <w:tr w:rsidR="00E256C5" w:rsidRPr="00ED57C1" w:rsidTr="00CC2BAF">
        <w:tc>
          <w:tcPr>
            <w:tcW w:w="1645" w:type="dxa"/>
          </w:tcPr>
          <w:p w:rsidR="00E256C5" w:rsidRPr="008F3096" w:rsidRDefault="00E256C5" w:rsidP="00246F51">
            <w:pPr>
              <w:tabs>
                <w:tab w:val="left" w:pos="567"/>
                <w:tab w:val="right" w:pos="9338"/>
              </w:tabs>
              <w:spacing w:before="120" w:after="120" w:line="240" w:lineRule="exact"/>
              <w:rPr>
                <w:rFonts w:eastAsia="Times New Roman"/>
                <w:b/>
                <w:bCs/>
                <w:iCs/>
                <w:sz w:val="18"/>
                <w:szCs w:val="18"/>
                <w:lang w:eastAsia="en-GB"/>
              </w:rPr>
            </w:pPr>
            <w:r w:rsidRPr="008F3096">
              <w:rPr>
                <w:rFonts w:eastAsia="Times New Roman"/>
                <w:b/>
                <w:bCs/>
                <w:iCs/>
                <w:sz w:val="18"/>
                <w:szCs w:val="18"/>
                <w:lang w:eastAsia="en-GB"/>
              </w:rPr>
              <w:t xml:space="preserve">Project team </w:t>
            </w:r>
            <w:r w:rsidR="00F14522">
              <w:rPr>
                <w:rFonts w:eastAsia="Times New Roman"/>
                <w:b/>
                <w:bCs/>
                <w:iCs/>
                <w:sz w:val="18"/>
                <w:szCs w:val="18"/>
                <w:lang w:eastAsia="en-GB"/>
              </w:rPr>
              <w:t xml:space="preserve"> &amp; governance </w:t>
            </w:r>
            <w:r w:rsidRPr="008F3096">
              <w:rPr>
                <w:rFonts w:eastAsia="Times New Roman"/>
                <w:b/>
                <w:bCs/>
                <w:iCs/>
                <w:sz w:val="18"/>
                <w:szCs w:val="18"/>
                <w:lang w:eastAsia="en-GB"/>
              </w:rPr>
              <w:t>costs</w:t>
            </w:r>
            <w:r w:rsidR="0024608C">
              <w:rPr>
                <w:rFonts w:eastAsia="Times New Roman"/>
                <w:b/>
                <w:bCs/>
                <w:iCs/>
                <w:sz w:val="18"/>
                <w:szCs w:val="18"/>
                <w:lang w:eastAsia="en-GB"/>
              </w:rPr>
              <w:t>**</w:t>
            </w:r>
          </w:p>
        </w:tc>
        <w:tc>
          <w:tcPr>
            <w:tcW w:w="1012" w:type="dxa"/>
          </w:tcPr>
          <w:p w:rsidR="00E256C5" w:rsidRDefault="00C2341A"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200,000</w:t>
            </w:r>
          </w:p>
        </w:tc>
        <w:tc>
          <w:tcPr>
            <w:tcW w:w="1233" w:type="dxa"/>
          </w:tcPr>
          <w:p w:rsidR="00E256C5" w:rsidRDefault="00C2341A"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815,000</w:t>
            </w:r>
          </w:p>
        </w:tc>
        <w:tc>
          <w:tcPr>
            <w:tcW w:w="1286" w:type="dxa"/>
          </w:tcPr>
          <w:p w:rsidR="00E256C5" w:rsidRDefault="00C2341A" w:rsidP="007733E4">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830,000</w:t>
            </w:r>
          </w:p>
        </w:tc>
        <w:tc>
          <w:tcPr>
            <w:tcW w:w="1473" w:type="dxa"/>
          </w:tcPr>
          <w:p w:rsidR="00E256C5" w:rsidRDefault="007733E4" w:rsidP="00C2341A">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69</w:t>
            </w:r>
            <w:r w:rsidR="00C2341A">
              <w:rPr>
                <w:rFonts w:eastAsia="Times New Roman"/>
                <w:bCs/>
                <w:iCs/>
                <w:sz w:val="20"/>
                <w:szCs w:val="20"/>
                <w:lang w:eastAsia="en-GB"/>
              </w:rPr>
              <w:t>0</w:t>
            </w:r>
            <w:r w:rsidR="00E256C5">
              <w:rPr>
                <w:rFonts w:eastAsia="Times New Roman"/>
                <w:bCs/>
                <w:iCs/>
                <w:sz w:val="20"/>
                <w:szCs w:val="20"/>
                <w:lang w:eastAsia="en-GB"/>
              </w:rPr>
              <w:t>,000</w:t>
            </w:r>
          </w:p>
        </w:tc>
        <w:tc>
          <w:tcPr>
            <w:tcW w:w="1998" w:type="dxa"/>
          </w:tcPr>
          <w:p w:rsidR="00E256C5" w:rsidRDefault="003623D3" w:rsidP="003623D3">
            <w:pPr>
              <w:tabs>
                <w:tab w:val="left" w:pos="435"/>
                <w:tab w:val="left" w:pos="567"/>
                <w:tab w:val="center" w:pos="891"/>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2,535,000</w:t>
            </w:r>
          </w:p>
        </w:tc>
      </w:tr>
      <w:tr w:rsidR="008672B3" w:rsidRPr="00ED57C1" w:rsidTr="00CC2BAF">
        <w:tc>
          <w:tcPr>
            <w:tcW w:w="1645" w:type="dxa"/>
          </w:tcPr>
          <w:p w:rsidR="008672B3" w:rsidRDefault="00F14522" w:rsidP="00E7266C">
            <w:pPr>
              <w:tabs>
                <w:tab w:val="left" w:pos="567"/>
                <w:tab w:val="right" w:pos="9338"/>
              </w:tabs>
              <w:spacing w:before="120" w:after="120" w:line="240" w:lineRule="exact"/>
              <w:rPr>
                <w:rFonts w:eastAsia="Times New Roman"/>
                <w:b/>
                <w:bCs/>
                <w:iCs/>
                <w:sz w:val="20"/>
                <w:szCs w:val="20"/>
                <w:lang w:eastAsia="en-GB"/>
              </w:rPr>
            </w:pPr>
            <w:r>
              <w:rPr>
                <w:rFonts w:eastAsia="Times New Roman"/>
                <w:b/>
                <w:bCs/>
                <w:iCs/>
                <w:sz w:val="20"/>
                <w:szCs w:val="20"/>
                <w:lang w:eastAsia="en-GB"/>
              </w:rPr>
              <w:t>Evidence base c</w:t>
            </w:r>
            <w:r w:rsidR="008672B3">
              <w:rPr>
                <w:rFonts w:eastAsia="Times New Roman"/>
                <w:b/>
                <w:bCs/>
                <w:iCs/>
                <w:sz w:val="20"/>
                <w:szCs w:val="20"/>
                <w:lang w:eastAsia="en-GB"/>
              </w:rPr>
              <w:t>osts</w:t>
            </w:r>
            <w:r w:rsidR="0024608C">
              <w:rPr>
                <w:rFonts w:eastAsia="Times New Roman"/>
                <w:b/>
                <w:bCs/>
                <w:iCs/>
                <w:sz w:val="20"/>
                <w:szCs w:val="20"/>
                <w:lang w:eastAsia="en-GB"/>
              </w:rPr>
              <w:t>*</w:t>
            </w:r>
          </w:p>
        </w:tc>
        <w:tc>
          <w:tcPr>
            <w:tcW w:w="1012" w:type="dxa"/>
          </w:tcPr>
          <w:p w:rsidR="008672B3" w:rsidRPr="00E14663" w:rsidRDefault="00F14522"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6</w:t>
            </w:r>
            <w:r w:rsidR="008672B3">
              <w:rPr>
                <w:rFonts w:eastAsia="Times New Roman"/>
                <w:bCs/>
                <w:iCs/>
                <w:sz w:val="20"/>
                <w:szCs w:val="20"/>
                <w:lang w:eastAsia="en-GB"/>
              </w:rPr>
              <w:t>0,000</w:t>
            </w:r>
          </w:p>
        </w:tc>
        <w:tc>
          <w:tcPr>
            <w:tcW w:w="1233" w:type="dxa"/>
          </w:tcPr>
          <w:p w:rsidR="008672B3" w:rsidRPr="00E14663" w:rsidRDefault="00F14522"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33</w:t>
            </w:r>
            <w:r w:rsidR="008672B3">
              <w:rPr>
                <w:rFonts w:eastAsia="Times New Roman"/>
                <w:bCs/>
                <w:iCs/>
                <w:sz w:val="20"/>
                <w:szCs w:val="20"/>
                <w:lang w:eastAsia="en-GB"/>
              </w:rPr>
              <w:t>0,000</w:t>
            </w:r>
          </w:p>
        </w:tc>
        <w:tc>
          <w:tcPr>
            <w:tcW w:w="1286" w:type="dxa"/>
          </w:tcPr>
          <w:p w:rsidR="008672B3" w:rsidRPr="00E14663" w:rsidRDefault="00F14522"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33</w:t>
            </w:r>
            <w:r w:rsidR="008672B3">
              <w:rPr>
                <w:rFonts w:eastAsia="Times New Roman"/>
                <w:bCs/>
                <w:iCs/>
                <w:sz w:val="20"/>
                <w:szCs w:val="20"/>
                <w:lang w:eastAsia="en-GB"/>
              </w:rPr>
              <w:t>0,000</w:t>
            </w:r>
          </w:p>
        </w:tc>
        <w:tc>
          <w:tcPr>
            <w:tcW w:w="1473" w:type="dxa"/>
          </w:tcPr>
          <w:p w:rsidR="008672B3" w:rsidRPr="00E14663" w:rsidRDefault="00F14522"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13</w:t>
            </w:r>
            <w:r w:rsidR="008672B3">
              <w:rPr>
                <w:rFonts w:eastAsia="Times New Roman"/>
                <w:bCs/>
                <w:iCs/>
                <w:sz w:val="20"/>
                <w:szCs w:val="20"/>
                <w:lang w:eastAsia="en-GB"/>
              </w:rPr>
              <w:t>0,000</w:t>
            </w:r>
          </w:p>
        </w:tc>
        <w:tc>
          <w:tcPr>
            <w:tcW w:w="1998" w:type="dxa"/>
          </w:tcPr>
          <w:p w:rsidR="008672B3" w:rsidRDefault="00F14522"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8</w:t>
            </w:r>
            <w:r w:rsidR="008672B3">
              <w:rPr>
                <w:rFonts w:eastAsia="Times New Roman"/>
                <w:bCs/>
                <w:iCs/>
                <w:sz w:val="20"/>
                <w:szCs w:val="20"/>
                <w:lang w:eastAsia="en-GB"/>
              </w:rPr>
              <w:t>50,000</w:t>
            </w:r>
          </w:p>
        </w:tc>
      </w:tr>
      <w:tr w:rsidR="008672B3" w:rsidRPr="00ED57C1" w:rsidTr="00CC2BAF">
        <w:tc>
          <w:tcPr>
            <w:tcW w:w="1645" w:type="dxa"/>
          </w:tcPr>
          <w:p w:rsidR="008672B3" w:rsidRPr="008F3096" w:rsidRDefault="008672B3" w:rsidP="00E7266C">
            <w:pPr>
              <w:tabs>
                <w:tab w:val="left" w:pos="567"/>
                <w:tab w:val="right" w:pos="9338"/>
              </w:tabs>
              <w:spacing w:before="120" w:after="120" w:line="240" w:lineRule="exact"/>
              <w:rPr>
                <w:rFonts w:eastAsia="Times New Roman"/>
                <w:b/>
                <w:bCs/>
                <w:iCs/>
                <w:sz w:val="18"/>
                <w:szCs w:val="18"/>
                <w:lang w:eastAsia="en-GB"/>
              </w:rPr>
            </w:pPr>
            <w:r w:rsidRPr="008F3096">
              <w:rPr>
                <w:rFonts w:eastAsia="Times New Roman"/>
                <w:b/>
                <w:bCs/>
                <w:iCs/>
                <w:sz w:val="18"/>
                <w:szCs w:val="18"/>
                <w:lang w:eastAsia="en-GB"/>
              </w:rPr>
              <w:t>Consultation and adoption costs</w:t>
            </w:r>
            <w:r w:rsidR="0024608C">
              <w:rPr>
                <w:rFonts w:eastAsia="Times New Roman"/>
                <w:b/>
                <w:bCs/>
                <w:iCs/>
                <w:sz w:val="18"/>
                <w:szCs w:val="18"/>
                <w:lang w:eastAsia="en-GB"/>
              </w:rPr>
              <w:t>**</w:t>
            </w:r>
          </w:p>
        </w:tc>
        <w:tc>
          <w:tcPr>
            <w:tcW w:w="1012" w:type="dxa"/>
          </w:tcPr>
          <w:p w:rsidR="008672B3" w:rsidRDefault="008672B3"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w:t>
            </w:r>
          </w:p>
        </w:tc>
        <w:tc>
          <w:tcPr>
            <w:tcW w:w="1233" w:type="dxa"/>
          </w:tcPr>
          <w:p w:rsidR="008672B3" w:rsidRDefault="008672B3"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100,000</w:t>
            </w:r>
          </w:p>
        </w:tc>
        <w:tc>
          <w:tcPr>
            <w:tcW w:w="1286" w:type="dxa"/>
          </w:tcPr>
          <w:p w:rsidR="008672B3" w:rsidRDefault="008672B3"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150,000</w:t>
            </w:r>
          </w:p>
        </w:tc>
        <w:tc>
          <w:tcPr>
            <w:tcW w:w="1473" w:type="dxa"/>
          </w:tcPr>
          <w:p w:rsidR="008672B3" w:rsidRDefault="008672B3"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250,000</w:t>
            </w:r>
          </w:p>
        </w:tc>
        <w:tc>
          <w:tcPr>
            <w:tcW w:w="1998" w:type="dxa"/>
          </w:tcPr>
          <w:p w:rsidR="008672B3" w:rsidRDefault="008672B3"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500,000</w:t>
            </w:r>
          </w:p>
        </w:tc>
      </w:tr>
      <w:tr w:rsidR="00E256C5" w:rsidRPr="00ED57C1" w:rsidTr="00CC2BAF">
        <w:tc>
          <w:tcPr>
            <w:tcW w:w="1645" w:type="dxa"/>
            <w:tcBorders>
              <w:top w:val="single" w:sz="4" w:space="0" w:color="auto"/>
            </w:tcBorders>
            <w:shd w:val="clear" w:color="auto" w:fill="D9D9D9" w:themeFill="background1" w:themeFillShade="D9"/>
          </w:tcPr>
          <w:p w:rsidR="00462E5E" w:rsidRPr="006014C7" w:rsidRDefault="00462E5E" w:rsidP="00246F51">
            <w:pPr>
              <w:tabs>
                <w:tab w:val="left" w:pos="567"/>
                <w:tab w:val="right" w:pos="9338"/>
              </w:tabs>
              <w:spacing w:before="120" w:after="120" w:line="240" w:lineRule="exact"/>
              <w:rPr>
                <w:rFonts w:eastAsia="Times New Roman"/>
                <w:b/>
                <w:bCs/>
                <w:iCs/>
                <w:sz w:val="20"/>
                <w:szCs w:val="20"/>
                <w:lang w:eastAsia="en-GB"/>
              </w:rPr>
            </w:pPr>
            <w:r w:rsidRPr="006014C7">
              <w:rPr>
                <w:rFonts w:eastAsia="Times New Roman"/>
                <w:b/>
                <w:bCs/>
                <w:iCs/>
                <w:sz w:val="20"/>
                <w:szCs w:val="20"/>
                <w:lang w:eastAsia="en-GB"/>
              </w:rPr>
              <w:t>Total project Costs</w:t>
            </w:r>
          </w:p>
        </w:tc>
        <w:tc>
          <w:tcPr>
            <w:tcW w:w="1012" w:type="dxa"/>
            <w:tcBorders>
              <w:top w:val="single" w:sz="4" w:space="0" w:color="auto"/>
            </w:tcBorders>
            <w:shd w:val="clear" w:color="auto" w:fill="D9D9D9" w:themeFill="background1" w:themeFillShade="D9"/>
          </w:tcPr>
          <w:p w:rsidR="00462E5E" w:rsidRPr="006014C7" w:rsidRDefault="00C2341A" w:rsidP="0029521F">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260,000</w:t>
            </w:r>
          </w:p>
        </w:tc>
        <w:tc>
          <w:tcPr>
            <w:tcW w:w="1233" w:type="dxa"/>
            <w:tcBorders>
              <w:top w:val="single" w:sz="4" w:space="0" w:color="auto"/>
            </w:tcBorders>
            <w:shd w:val="clear" w:color="auto" w:fill="D9D9D9" w:themeFill="background1" w:themeFillShade="D9"/>
          </w:tcPr>
          <w:p w:rsidR="00462E5E" w:rsidRPr="006014C7" w:rsidRDefault="00A1294D" w:rsidP="00C2341A">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1,24</w:t>
            </w:r>
            <w:r w:rsidR="00C2341A">
              <w:rPr>
                <w:rFonts w:eastAsia="Times New Roman"/>
                <w:b/>
                <w:bCs/>
                <w:iCs/>
                <w:sz w:val="20"/>
                <w:szCs w:val="20"/>
                <w:lang w:eastAsia="en-GB"/>
              </w:rPr>
              <w:t>5,000</w:t>
            </w:r>
          </w:p>
        </w:tc>
        <w:tc>
          <w:tcPr>
            <w:tcW w:w="1286" w:type="dxa"/>
            <w:tcBorders>
              <w:top w:val="single" w:sz="4" w:space="0" w:color="auto"/>
            </w:tcBorders>
            <w:shd w:val="clear" w:color="auto" w:fill="D9D9D9" w:themeFill="background1" w:themeFillShade="D9"/>
          </w:tcPr>
          <w:p w:rsidR="00462E5E" w:rsidRPr="006014C7" w:rsidRDefault="00A1294D" w:rsidP="00C2341A">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1,31</w:t>
            </w:r>
            <w:r w:rsidR="00C2341A">
              <w:rPr>
                <w:rFonts w:eastAsia="Times New Roman"/>
                <w:b/>
                <w:bCs/>
                <w:iCs/>
                <w:sz w:val="20"/>
                <w:szCs w:val="20"/>
                <w:lang w:eastAsia="en-GB"/>
              </w:rPr>
              <w:t>0</w:t>
            </w:r>
            <w:r>
              <w:rPr>
                <w:rFonts w:eastAsia="Times New Roman"/>
                <w:b/>
                <w:bCs/>
                <w:iCs/>
                <w:sz w:val="20"/>
                <w:szCs w:val="20"/>
                <w:lang w:eastAsia="en-GB"/>
              </w:rPr>
              <w:t>,</w:t>
            </w:r>
            <w:r w:rsidR="00C2341A">
              <w:rPr>
                <w:rFonts w:eastAsia="Times New Roman"/>
                <w:b/>
                <w:bCs/>
                <w:iCs/>
                <w:sz w:val="20"/>
                <w:szCs w:val="20"/>
                <w:lang w:eastAsia="en-GB"/>
              </w:rPr>
              <w:t>000</w:t>
            </w:r>
          </w:p>
        </w:tc>
        <w:tc>
          <w:tcPr>
            <w:tcW w:w="1473" w:type="dxa"/>
            <w:tcBorders>
              <w:top w:val="single" w:sz="4" w:space="0" w:color="auto"/>
            </w:tcBorders>
            <w:shd w:val="clear" w:color="auto" w:fill="D9D9D9" w:themeFill="background1" w:themeFillShade="D9"/>
          </w:tcPr>
          <w:p w:rsidR="00462E5E" w:rsidRPr="006014C7" w:rsidRDefault="00A1294D" w:rsidP="00C2341A">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1,07</w:t>
            </w:r>
            <w:r w:rsidR="00C2341A">
              <w:rPr>
                <w:rFonts w:eastAsia="Times New Roman"/>
                <w:b/>
                <w:bCs/>
                <w:iCs/>
                <w:sz w:val="20"/>
                <w:szCs w:val="20"/>
                <w:lang w:eastAsia="en-GB"/>
              </w:rPr>
              <w:t>0</w:t>
            </w:r>
            <w:r>
              <w:rPr>
                <w:rFonts w:eastAsia="Times New Roman"/>
                <w:b/>
                <w:bCs/>
                <w:iCs/>
                <w:sz w:val="20"/>
                <w:szCs w:val="20"/>
                <w:lang w:eastAsia="en-GB"/>
              </w:rPr>
              <w:t>,000</w:t>
            </w:r>
          </w:p>
        </w:tc>
        <w:tc>
          <w:tcPr>
            <w:tcW w:w="1998" w:type="dxa"/>
            <w:tcBorders>
              <w:top w:val="single" w:sz="4" w:space="0" w:color="auto"/>
            </w:tcBorders>
            <w:shd w:val="clear" w:color="auto" w:fill="D9D9D9" w:themeFill="background1" w:themeFillShade="D9"/>
          </w:tcPr>
          <w:p w:rsidR="00462E5E" w:rsidRDefault="00147F83" w:rsidP="003623D3">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3,</w:t>
            </w:r>
            <w:r w:rsidR="00A1294D">
              <w:rPr>
                <w:rFonts w:eastAsia="Times New Roman"/>
                <w:b/>
                <w:bCs/>
                <w:iCs/>
                <w:sz w:val="20"/>
                <w:szCs w:val="20"/>
                <w:lang w:eastAsia="en-GB"/>
              </w:rPr>
              <w:t>88</w:t>
            </w:r>
            <w:r w:rsidR="003623D3">
              <w:rPr>
                <w:rFonts w:eastAsia="Times New Roman"/>
                <w:b/>
                <w:bCs/>
                <w:iCs/>
                <w:sz w:val="20"/>
                <w:szCs w:val="20"/>
                <w:lang w:eastAsia="en-GB"/>
              </w:rPr>
              <w:t>5</w:t>
            </w:r>
            <w:r w:rsidR="00A1294D">
              <w:rPr>
                <w:rFonts w:eastAsia="Times New Roman"/>
                <w:b/>
                <w:bCs/>
                <w:iCs/>
                <w:sz w:val="20"/>
                <w:szCs w:val="20"/>
                <w:lang w:eastAsia="en-GB"/>
              </w:rPr>
              <w:t>,0</w:t>
            </w:r>
            <w:r w:rsidR="003623D3">
              <w:rPr>
                <w:rFonts w:eastAsia="Times New Roman"/>
                <w:b/>
                <w:bCs/>
                <w:iCs/>
                <w:sz w:val="20"/>
                <w:szCs w:val="20"/>
                <w:lang w:eastAsia="en-GB"/>
              </w:rPr>
              <w:t>0</w:t>
            </w:r>
            <w:r w:rsidR="00A1294D">
              <w:rPr>
                <w:rFonts w:eastAsia="Times New Roman"/>
                <w:b/>
                <w:bCs/>
                <w:iCs/>
                <w:sz w:val="20"/>
                <w:szCs w:val="20"/>
                <w:lang w:eastAsia="en-GB"/>
              </w:rPr>
              <w:t>0</w:t>
            </w:r>
          </w:p>
        </w:tc>
      </w:tr>
    </w:tbl>
    <w:p w:rsidR="00CC6F91" w:rsidRPr="00D66E6B" w:rsidRDefault="0024608C" w:rsidP="00D66E6B">
      <w:pPr>
        <w:keepNext/>
        <w:keepLines/>
        <w:spacing w:before="120" w:after="120"/>
        <w:ind w:left="426"/>
        <w:outlineLvl w:val="1"/>
        <w:rPr>
          <w:rFonts w:eastAsiaTheme="majorEastAsia"/>
          <w:bCs/>
          <w:i/>
          <w:iCs/>
          <w:sz w:val="22"/>
          <w:szCs w:val="22"/>
        </w:rPr>
      </w:pPr>
      <w:r w:rsidRPr="00D66E6B">
        <w:rPr>
          <w:rFonts w:eastAsiaTheme="majorEastAsia"/>
          <w:bCs/>
          <w:i/>
          <w:iCs/>
          <w:sz w:val="22"/>
          <w:szCs w:val="22"/>
        </w:rPr>
        <w:t>* Costs which are likely to be incurred by the local authorities for required collective work regardless of whether there is a JSP</w:t>
      </w:r>
    </w:p>
    <w:p w:rsidR="0024608C" w:rsidRPr="00D66E6B" w:rsidRDefault="0024608C" w:rsidP="00D66E6B">
      <w:pPr>
        <w:keepNext/>
        <w:keepLines/>
        <w:spacing w:before="120" w:after="120"/>
        <w:ind w:left="426"/>
        <w:outlineLvl w:val="1"/>
        <w:rPr>
          <w:rFonts w:eastAsiaTheme="majorEastAsia"/>
          <w:bCs/>
          <w:i/>
          <w:iCs/>
          <w:sz w:val="22"/>
          <w:szCs w:val="22"/>
        </w:rPr>
      </w:pPr>
      <w:r w:rsidRPr="00D66E6B">
        <w:rPr>
          <w:rFonts w:eastAsiaTheme="majorEastAsia"/>
          <w:bCs/>
          <w:i/>
          <w:iCs/>
          <w:sz w:val="22"/>
          <w:szCs w:val="22"/>
        </w:rPr>
        <w:t xml:space="preserve">**Costs would be offset in subsequent savings to the districts in the preparation of the residual local plans </w:t>
      </w:r>
    </w:p>
    <w:p w:rsidR="007733E4" w:rsidRPr="00382680" w:rsidRDefault="007733E4">
      <w:pPr>
        <w:rPr>
          <w:rFonts w:eastAsiaTheme="majorEastAsia"/>
          <w:bCs/>
          <w:iCs/>
        </w:rPr>
      </w:pPr>
    </w:p>
    <w:p w:rsidR="0029521F" w:rsidRPr="00CF3045" w:rsidRDefault="00CF3045" w:rsidP="00CC2BAF">
      <w:pPr>
        <w:pStyle w:val="ListParagraph"/>
        <w:numPr>
          <w:ilvl w:val="0"/>
          <w:numId w:val="48"/>
        </w:numPr>
        <w:rPr>
          <w:rFonts w:eastAsiaTheme="majorEastAsia"/>
          <w:bCs/>
          <w:iCs/>
          <w:sz w:val="22"/>
          <w:szCs w:val="22"/>
        </w:rPr>
      </w:pPr>
      <w:r w:rsidRPr="00CF3045">
        <w:rPr>
          <w:rFonts w:eastAsiaTheme="majorEastAsia"/>
          <w:bCs/>
          <w:iCs/>
          <w:sz w:val="22"/>
          <w:szCs w:val="22"/>
        </w:rPr>
        <w:t>T</w:t>
      </w:r>
      <w:r w:rsidR="006F120D">
        <w:rPr>
          <w:rFonts w:eastAsiaTheme="majorEastAsia"/>
          <w:bCs/>
          <w:iCs/>
          <w:sz w:val="22"/>
          <w:szCs w:val="22"/>
        </w:rPr>
        <w:t xml:space="preserve">he costs of a </w:t>
      </w:r>
      <w:r w:rsidR="006F120D" w:rsidRPr="00382680">
        <w:rPr>
          <w:rFonts w:eastAsiaTheme="majorEastAsia"/>
          <w:bCs/>
          <w:iCs/>
          <w:sz w:val="22"/>
          <w:szCs w:val="22"/>
          <w:u w:val="single"/>
        </w:rPr>
        <w:t>Non-Statutory P</w:t>
      </w:r>
      <w:r w:rsidR="0029521F" w:rsidRPr="00382680">
        <w:rPr>
          <w:rFonts w:eastAsiaTheme="majorEastAsia"/>
          <w:bCs/>
          <w:iCs/>
          <w:sz w:val="22"/>
          <w:szCs w:val="22"/>
          <w:u w:val="single"/>
        </w:rPr>
        <w:t>lan</w:t>
      </w:r>
      <w:r w:rsidR="0029521F" w:rsidRPr="00CF3045">
        <w:rPr>
          <w:rFonts w:eastAsiaTheme="majorEastAsia"/>
          <w:bCs/>
          <w:iCs/>
          <w:sz w:val="22"/>
          <w:szCs w:val="22"/>
        </w:rPr>
        <w:t xml:space="preserve"> are as follows</w:t>
      </w:r>
      <w:r w:rsidR="00CC2BAF">
        <w:rPr>
          <w:rFonts w:eastAsiaTheme="majorEastAsia"/>
          <w:bCs/>
          <w:iCs/>
          <w:sz w:val="22"/>
          <w:szCs w:val="22"/>
        </w:rPr>
        <w:t>:</w:t>
      </w:r>
    </w:p>
    <w:p w:rsidR="0029521F" w:rsidRDefault="0029521F" w:rsidP="0029521F">
      <w:pPr>
        <w:rPr>
          <w:rFonts w:eastAsiaTheme="majorEastAsia"/>
          <w:bCs/>
          <w:iCs/>
        </w:rPr>
      </w:pPr>
    </w:p>
    <w:tbl>
      <w:tblPr>
        <w:tblStyle w:val="TableGrid"/>
        <w:tblW w:w="8647" w:type="dxa"/>
        <w:tblInd w:w="108" w:type="dxa"/>
        <w:tblLook w:val="04A0" w:firstRow="1" w:lastRow="0" w:firstColumn="1" w:lastColumn="0" w:noHBand="0" w:noVBand="1"/>
      </w:tblPr>
      <w:tblGrid>
        <w:gridCol w:w="1692"/>
        <w:gridCol w:w="1012"/>
        <w:gridCol w:w="1280"/>
        <w:gridCol w:w="1306"/>
        <w:gridCol w:w="1473"/>
        <w:gridCol w:w="1884"/>
      </w:tblGrid>
      <w:tr w:rsidR="00130E51" w:rsidRPr="00ED57C1" w:rsidTr="00CC2BAF">
        <w:tc>
          <w:tcPr>
            <w:tcW w:w="1692"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both"/>
              <w:rPr>
                <w:rFonts w:eastAsia="Times New Roman"/>
                <w:b/>
                <w:bCs/>
                <w:iCs/>
                <w:sz w:val="22"/>
                <w:szCs w:val="22"/>
                <w:lang w:eastAsia="en-GB"/>
              </w:rPr>
            </w:pPr>
          </w:p>
        </w:tc>
        <w:tc>
          <w:tcPr>
            <w:tcW w:w="1012"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2017/18</w:t>
            </w:r>
          </w:p>
        </w:tc>
        <w:tc>
          <w:tcPr>
            <w:tcW w:w="1280"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2018/19</w:t>
            </w:r>
          </w:p>
        </w:tc>
        <w:tc>
          <w:tcPr>
            <w:tcW w:w="1306"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2019/20</w:t>
            </w:r>
          </w:p>
        </w:tc>
        <w:tc>
          <w:tcPr>
            <w:tcW w:w="1473"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202</w:t>
            </w:r>
            <w:r>
              <w:rPr>
                <w:rFonts w:eastAsia="Times New Roman"/>
                <w:b/>
                <w:bCs/>
                <w:iCs/>
                <w:sz w:val="22"/>
                <w:szCs w:val="22"/>
                <w:lang w:eastAsia="en-GB"/>
              </w:rPr>
              <w:t>0</w:t>
            </w:r>
            <w:r w:rsidRPr="00ED57C1">
              <w:rPr>
                <w:rFonts w:eastAsia="Times New Roman"/>
                <w:b/>
                <w:bCs/>
                <w:iCs/>
                <w:sz w:val="22"/>
                <w:szCs w:val="22"/>
                <w:lang w:eastAsia="en-GB"/>
              </w:rPr>
              <w:t>/2</w:t>
            </w:r>
            <w:r>
              <w:rPr>
                <w:rFonts w:eastAsia="Times New Roman"/>
                <w:b/>
                <w:bCs/>
                <w:iCs/>
                <w:sz w:val="22"/>
                <w:szCs w:val="22"/>
                <w:lang w:eastAsia="en-GB"/>
              </w:rPr>
              <w:t>1</w:t>
            </w:r>
          </w:p>
        </w:tc>
        <w:tc>
          <w:tcPr>
            <w:tcW w:w="1884" w:type="dxa"/>
            <w:shd w:val="clear" w:color="auto" w:fill="A6A6A6" w:themeFill="background1" w:themeFillShade="A6"/>
          </w:tcPr>
          <w:p w:rsidR="0029521F" w:rsidRPr="00ED57C1" w:rsidRDefault="0029521F" w:rsidP="00CC35D4">
            <w:pPr>
              <w:tabs>
                <w:tab w:val="left" w:pos="567"/>
                <w:tab w:val="right" w:pos="9338"/>
              </w:tabs>
              <w:spacing w:before="120" w:after="120" w:line="240" w:lineRule="exact"/>
              <w:jc w:val="center"/>
              <w:rPr>
                <w:rFonts w:eastAsia="Times New Roman"/>
                <w:b/>
                <w:bCs/>
                <w:iCs/>
                <w:sz w:val="22"/>
                <w:szCs w:val="22"/>
                <w:lang w:eastAsia="en-GB"/>
              </w:rPr>
            </w:pPr>
            <w:r>
              <w:rPr>
                <w:rFonts w:eastAsia="Times New Roman"/>
                <w:b/>
                <w:bCs/>
                <w:iCs/>
                <w:sz w:val="22"/>
                <w:szCs w:val="22"/>
                <w:lang w:eastAsia="en-GB"/>
              </w:rPr>
              <w:t>Total project costs</w:t>
            </w:r>
          </w:p>
        </w:tc>
      </w:tr>
      <w:tr w:rsidR="00130E51" w:rsidRPr="00ED57C1" w:rsidTr="00CC2BAF">
        <w:tc>
          <w:tcPr>
            <w:tcW w:w="1692" w:type="dxa"/>
          </w:tcPr>
          <w:p w:rsidR="00130E51" w:rsidRPr="008F3096" w:rsidRDefault="00130E51" w:rsidP="00246F51">
            <w:pPr>
              <w:tabs>
                <w:tab w:val="left" w:pos="567"/>
                <w:tab w:val="right" w:pos="9338"/>
              </w:tabs>
              <w:spacing w:before="120" w:after="120" w:line="240" w:lineRule="exact"/>
              <w:rPr>
                <w:rFonts w:eastAsia="Times New Roman"/>
                <w:b/>
                <w:bCs/>
                <w:iCs/>
                <w:sz w:val="18"/>
                <w:szCs w:val="18"/>
                <w:lang w:eastAsia="en-GB"/>
              </w:rPr>
            </w:pPr>
            <w:r w:rsidRPr="008F3096">
              <w:rPr>
                <w:rFonts w:eastAsia="Times New Roman"/>
                <w:b/>
                <w:bCs/>
                <w:iCs/>
                <w:sz w:val="18"/>
                <w:szCs w:val="18"/>
                <w:lang w:eastAsia="en-GB"/>
              </w:rPr>
              <w:t>Project team costs</w:t>
            </w:r>
          </w:p>
        </w:tc>
        <w:tc>
          <w:tcPr>
            <w:tcW w:w="1012" w:type="dxa"/>
          </w:tcPr>
          <w:p w:rsidR="00130E51" w:rsidRPr="003E3289" w:rsidRDefault="009614B1"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w:t>
            </w:r>
            <w:r w:rsidR="0080103E">
              <w:rPr>
                <w:rFonts w:eastAsia="Times New Roman"/>
                <w:bCs/>
                <w:iCs/>
                <w:sz w:val="20"/>
                <w:szCs w:val="20"/>
                <w:lang w:eastAsia="en-GB"/>
              </w:rPr>
              <w:t>90</w:t>
            </w:r>
            <w:r>
              <w:rPr>
                <w:rFonts w:eastAsia="Times New Roman"/>
                <w:bCs/>
                <w:iCs/>
                <w:sz w:val="20"/>
                <w:szCs w:val="20"/>
                <w:lang w:eastAsia="en-GB"/>
              </w:rPr>
              <w:t>,</w:t>
            </w:r>
            <w:r w:rsidR="0080103E">
              <w:rPr>
                <w:rFonts w:eastAsia="Times New Roman"/>
                <w:bCs/>
                <w:iCs/>
                <w:sz w:val="20"/>
                <w:szCs w:val="20"/>
                <w:lang w:eastAsia="en-GB"/>
              </w:rPr>
              <w:t>000</w:t>
            </w:r>
          </w:p>
        </w:tc>
        <w:tc>
          <w:tcPr>
            <w:tcW w:w="1280" w:type="dxa"/>
          </w:tcPr>
          <w:p w:rsidR="00130E51" w:rsidRPr="003E3289" w:rsidRDefault="009614B1"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76</w:t>
            </w:r>
            <w:r w:rsidR="0080103E">
              <w:rPr>
                <w:rFonts w:eastAsia="Times New Roman"/>
                <w:bCs/>
                <w:iCs/>
                <w:sz w:val="20"/>
                <w:szCs w:val="20"/>
                <w:lang w:eastAsia="en-GB"/>
              </w:rPr>
              <w:t>0,000</w:t>
            </w:r>
          </w:p>
        </w:tc>
        <w:tc>
          <w:tcPr>
            <w:tcW w:w="1306" w:type="dxa"/>
          </w:tcPr>
          <w:p w:rsidR="00130E51" w:rsidRPr="003E3289" w:rsidRDefault="006315AF"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775</w:t>
            </w:r>
            <w:r w:rsidR="00130E51" w:rsidRPr="003E3289">
              <w:rPr>
                <w:rFonts w:eastAsia="Times New Roman"/>
                <w:bCs/>
                <w:iCs/>
                <w:sz w:val="20"/>
                <w:szCs w:val="20"/>
                <w:lang w:eastAsia="en-GB"/>
              </w:rPr>
              <w:t>,000</w:t>
            </w:r>
          </w:p>
        </w:tc>
        <w:tc>
          <w:tcPr>
            <w:tcW w:w="1473" w:type="dxa"/>
          </w:tcPr>
          <w:p w:rsidR="00130E51" w:rsidRPr="003E3289" w:rsidRDefault="00DF6736"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13</w:t>
            </w:r>
            <w:r w:rsidR="0080103E">
              <w:rPr>
                <w:rFonts w:eastAsia="Times New Roman"/>
                <w:bCs/>
                <w:iCs/>
                <w:sz w:val="20"/>
                <w:szCs w:val="20"/>
                <w:lang w:eastAsia="en-GB"/>
              </w:rPr>
              <w:t>0</w:t>
            </w:r>
            <w:r>
              <w:rPr>
                <w:rFonts w:eastAsia="Times New Roman"/>
                <w:bCs/>
                <w:iCs/>
                <w:sz w:val="20"/>
                <w:szCs w:val="20"/>
                <w:lang w:eastAsia="en-GB"/>
              </w:rPr>
              <w:t>,</w:t>
            </w:r>
            <w:r w:rsidR="0080103E">
              <w:rPr>
                <w:rFonts w:eastAsia="Times New Roman"/>
                <w:bCs/>
                <w:iCs/>
                <w:sz w:val="20"/>
                <w:szCs w:val="20"/>
                <w:lang w:eastAsia="en-GB"/>
              </w:rPr>
              <w:t>0</w:t>
            </w:r>
            <w:r>
              <w:rPr>
                <w:rFonts w:eastAsia="Times New Roman"/>
                <w:bCs/>
                <w:iCs/>
                <w:sz w:val="20"/>
                <w:szCs w:val="20"/>
                <w:lang w:eastAsia="en-GB"/>
              </w:rPr>
              <w:t>00</w:t>
            </w:r>
          </w:p>
        </w:tc>
        <w:tc>
          <w:tcPr>
            <w:tcW w:w="1884" w:type="dxa"/>
          </w:tcPr>
          <w:p w:rsidR="00130E51" w:rsidRPr="003E3289" w:rsidRDefault="00F07C1A"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1,855,000</w:t>
            </w:r>
          </w:p>
        </w:tc>
      </w:tr>
      <w:tr w:rsidR="00B37350" w:rsidRPr="00ED57C1" w:rsidTr="00CC2BAF">
        <w:tc>
          <w:tcPr>
            <w:tcW w:w="1692" w:type="dxa"/>
          </w:tcPr>
          <w:p w:rsidR="00B37350" w:rsidRDefault="00B37350" w:rsidP="00B85AAC">
            <w:pPr>
              <w:tabs>
                <w:tab w:val="left" w:pos="567"/>
                <w:tab w:val="right" w:pos="9338"/>
              </w:tabs>
              <w:spacing w:before="120" w:after="120" w:line="240" w:lineRule="exact"/>
              <w:rPr>
                <w:rFonts w:eastAsia="Times New Roman"/>
                <w:b/>
                <w:bCs/>
                <w:iCs/>
                <w:sz w:val="20"/>
                <w:szCs w:val="20"/>
                <w:lang w:eastAsia="en-GB"/>
              </w:rPr>
            </w:pPr>
            <w:r>
              <w:rPr>
                <w:rFonts w:eastAsia="Times New Roman"/>
                <w:b/>
                <w:bCs/>
                <w:iCs/>
                <w:sz w:val="20"/>
                <w:szCs w:val="20"/>
                <w:lang w:eastAsia="en-GB"/>
              </w:rPr>
              <w:t>Evidence base costs*</w:t>
            </w:r>
          </w:p>
        </w:tc>
        <w:tc>
          <w:tcPr>
            <w:tcW w:w="1012" w:type="dxa"/>
          </w:tcPr>
          <w:p w:rsidR="00B37350" w:rsidRPr="00E14663" w:rsidRDefault="00B37350"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60,000</w:t>
            </w:r>
          </w:p>
        </w:tc>
        <w:tc>
          <w:tcPr>
            <w:tcW w:w="1280" w:type="dxa"/>
          </w:tcPr>
          <w:p w:rsidR="00B37350" w:rsidRPr="00E14663" w:rsidRDefault="00B37350"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330,000</w:t>
            </w:r>
          </w:p>
        </w:tc>
        <w:tc>
          <w:tcPr>
            <w:tcW w:w="1306" w:type="dxa"/>
          </w:tcPr>
          <w:p w:rsidR="00B37350" w:rsidRPr="00E14663" w:rsidRDefault="00B37350"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330,000</w:t>
            </w:r>
          </w:p>
        </w:tc>
        <w:tc>
          <w:tcPr>
            <w:tcW w:w="1473" w:type="dxa"/>
          </w:tcPr>
          <w:p w:rsidR="00B37350" w:rsidRPr="00E14663" w:rsidRDefault="00B37350"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130,000</w:t>
            </w:r>
          </w:p>
        </w:tc>
        <w:tc>
          <w:tcPr>
            <w:tcW w:w="1884" w:type="dxa"/>
          </w:tcPr>
          <w:p w:rsidR="00B37350" w:rsidRDefault="00B37350"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850,000</w:t>
            </w:r>
          </w:p>
        </w:tc>
      </w:tr>
      <w:tr w:rsidR="00B37350" w:rsidRPr="00ED57C1" w:rsidTr="00CC2BAF">
        <w:tc>
          <w:tcPr>
            <w:tcW w:w="1692" w:type="dxa"/>
          </w:tcPr>
          <w:p w:rsidR="00B37350" w:rsidRPr="00E14663" w:rsidRDefault="00B37350" w:rsidP="00246F51">
            <w:pPr>
              <w:tabs>
                <w:tab w:val="left" w:pos="567"/>
                <w:tab w:val="right" w:pos="9338"/>
              </w:tabs>
              <w:spacing w:before="120" w:after="120" w:line="240" w:lineRule="exact"/>
              <w:rPr>
                <w:rFonts w:eastAsia="Times New Roman"/>
                <w:b/>
                <w:bCs/>
                <w:iCs/>
                <w:sz w:val="20"/>
                <w:szCs w:val="20"/>
                <w:lang w:eastAsia="en-GB"/>
              </w:rPr>
            </w:pPr>
            <w:r w:rsidRPr="008F3096">
              <w:rPr>
                <w:rFonts w:eastAsia="Times New Roman"/>
                <w:b/>
                <w:bCs/>
                <w:iCs/>
                <w:sz w:val="18"/>
                <w:szCs w:val="18"/>
                <w:lang w:eastAsia="en-GB"/>
              </w:rPr>
              <w:t>Consultation costs</w:t>
            </w:r>
          </w:p>
        </w:tc>
        <w:tc>
          <w:tcPr>
            <w:tcW w:w="1012" w:type="dxa"/>
          </w:tcPr>
          <w:p w:rsidR="00B37350" w:rsidRDefault="00B37350"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w:t>
            </w:r>
          </w:p>
        </w:tc>
        <w:tc>
          <w:tcPr>
            <w:tcW w:w="1280" w:type="dxa"/>
          </w:tcPr>
          <w:p w:rsidR="00B37350" w:rsidRDefault="00B37350"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100,000</w:t>
            </w:r>
          </w:p>
        </w:tc>
        <w:tc>
          <w:tcPr>
            <w:tcW w:w="1306" w:type="dxa"/>
          </w:tcPr>
          <w:p w:rsidR="00B37350" w:rsidRDefault="00B37350"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50,000</w:t>
            </w:r>
          </w:p>
        </w:tc>
        <w:tc>
          <w:tcPr>
            <w:tcW w:w="1473" w:type="dxa"/>
          </w:tcPr>
          <w:p w:rsidR="00B37350" w:rsidRDefault="00B37350"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w:t>
            </w:r>
          </w:p>
        </w:tc>
        <w:tc>
          <w:tcPr>
            <w:tcW w:w="1884" w:type="dxa"/>
          </w:tcPr>
          <w:p w:rsidR="00B37350" w:rsidRDefault="00B37350" w:rsidP="001F550F">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150,000</w:t>
            </w:r>
          </w:p>
        </w:tc>
      </w:tr>
      <w:tr w:rsidR="00B37350" w:rsidRPr="00ED57C1" w:rsidTr="00CC2BAF">
        <w:tc>
          <w:tcPr>
            <w:tcW w:w="1692" w:type="dxa"/>
            <w:tcBorders>
              <w:top w:val="single" w:sz="4" w:space="0" w:color="auto"/>
            </w:tcBorders>
            <w:shd w:val="clear" w:color="auto" w:fill="D9D9D9" w:themeFill="background1" w:themeFillShade="D9"/>
          </w:tcPr>
          <w:p w:rsidR="00B37350" w:rsidRPr="00E14663" w:rsidRDefault="00B37350" w:rsidP="00246F51">
            <w:pPr>
              <w:tabs>
                <w:tab w:val="left" w:pos="567"/>
                <w:tab w:val="right" w:pos="9338"/>
              </w:tabs>
              <w:spacing w:before="120" w:after="120" w:line="240" w:lineRule="exact"/>
              <w:rPr>
                <w:rFonts w:eastAsia="Times New Roman"/>
                <w:b/>
                <w:bCs/>
                <w:iCs/>
                <w:sz w:val="20"/>
                <w:szCs w:val="20"/>
                <w:lang w:eastAsia="en-GB"/>
              </w:rPr>
            </w:pPr>
            <w:r w:rsidRPr="006014C7">
              <w:rPr>
                <w:rFonts w:eastAsia="Times New Roman"/>
                <w:b/>
                <w:bCs/>
                <w:iCs/>
                <w:sz w:val="20"/>
                <w:szCs w:val="20"/>
                <w:lang w:eastAsia="en-GB"/>
              </w:rPr>
              <w:t>Total project Costs</w:t>
            </w:r>
          </w:p>
        </w:tc>
        <w:tc>
          <w:tcPr>
            <w:tcW w:w="1012" w:type="dxa"/>
            <w:tcBorders>
              <w:top w:val="single" w:sz="4" w:space="0" w:color="auto"/>
            </w:tcBorders>
            <w:shd w:val="clear" w:color="auto" w:fill="D9D9D9" w:themeFill="background1" w:themeFillShade="D9"/>
          </w:tcPr>
          <w:p w:rsidR="00B37350" w:rsidRDefault="00B37350"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2</w:t>
            </w:r>
            <w:r w:rsidR="0080103E">
              <w:rPr>
                <w:rFonts w:eastAsia="Times New Roman"/>
                <w:b/>
                <w:bCs/>
                <w:iCs/>
                <w:sz w:val="20"/>
                <w:szCs w:val="20"/>
                <w:lang w:eastAsia="en-GB"/>
              </w:rPr>
              <w:t>50,000</w:t>
            </w:r>
          </w:p>
        </w:tc>
        <w:tc>
          <w:tcPr>
            <w:tcW w:w="1280" w:type="dxa"/>
            <w:tcBorders>
              <w:top w:val="single" w:sz="4" w:space="0" w:color="auto"/>
            </w:tcBorders>
            <w:shd w:val="clear" w:color="auto" w:fill="D9D9D9" w:themeFill="background1" w:themeFillShade="D9"/>
          </w:tcPr>
          <w:p w:rsidR="00B37350" w:rsidRDefault="00B37350"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1,19</w:t>
            </w:r>
            <w:r w:rsidR="0080103E">
              <w:rPr>
                <w:rFonts w:eastAsia="Times New Roman"/>
                <w:b/>
                <w:bCs/>
                <w:iCs/>
                <w:sz w:val="20"/>
                <w:szCs w:val="20"/>
                <w:lang w:eastAsia="en-GB"/>
              </w:rPr>
              <w:t>0</w:t>
            </w:r>
            <w:r>
              <w:rPr>
                <w:rFonts w:eastAsia="Times New Roman"/>
                <w:b/>
                <w:bCs/>
                <w:iCs/>
                <w:sz w:val="20"/>
                <w:szCs w:val="20"/>
                <w:lang w:eastAsia="en-GB"/>
              </w:rPr>
              <w:t>,</w:t>
            </w:r>
            <w:r w:rsidR="0080103E">
              <w:rPr>
                <w:rFonts w:eastAsia="Times New Roman"/>
                <w:b/>
                <w:bCs/>
                <w:iCs/>
                <w:sz w:val="20"/>
                <w:szCs w:val="20"/>
                <w:lang w:eastAsia="en-GB"/>
              </w:rPr>
              <w:t>000</w:t>
            </w:r>
          </w:p>
        </w:tc>
        <w:tc>
          <w:tcPr>
            <w:tcW w:w="1306" w:type="dxa"/>
            <w:tcBorders>
              <w:top w:val="single" w:sz="4" w:space="0" w:color="auto"/>
            </w:tcBorders>
            <w:shd w:val="clear" w:color="auto" w:fill="D9D9D9" w:themeFill="background1" w:themeFillShade="D9"/>
          </w:tcPr>
          <w:p w:rsidR="00B37350" w:rsidRDefault="00B37350" w:rsidP="00F07C1A">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1,1</w:t>
            </w:r>
            <w:r w:rsidR="00F07C1A">
              <w:rPr>
                <w:rFonts w:eastAsia="Times New Roman"/>
                <w:b/>
                <w:bCs/>
                <w:iCs/>
                <w:sz w:val="20"/>
                <w:szCs w:val="20"/>
                <w:lang w:eastAsia="en-GB"/>
              </w:rPr>
              <w:t>5</w:t>
            </w:r>
            <w:r>
              <w:rPr>
                <w:rFonts w:eastAsia="Times New Roman"/>
                <w:b/>
                <w:bCs/>
                <w:iCs/>
                <w:sz w:val="20"/>
                <w:szCs w:val="20"/>
                <w:lang w:eastAsia="en-GB"/>
              </w:rPr>
              <w:t>5,000</w:t>
            </w:r>
          </w:p>
        </w:tc>
        <w:tc>
          <w:tcPr>
            <w:tcW w:w="1473" w:type="dxa"/>
            <w:tcBorders>
              <w:top w:val="single" w:sz="4" w:space="0" w:color="auto"/>
            </w:tcBorders>
            <w:shd w:val="clear" w:color="auto" w:fill="D9D9D9" w:themeFill="background1" w:themeFillShade="D9"/>
          </w:tcPr>
          <w:p w:rsidR="00B37350" w:rsidRDefault="00B37350" w:rsidP="0080103E">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26</w:t>
            </w:r>
            <w:r w:rsidR="0080103E">
              <w:rPr>
                <w:rFonts w:eastAsia="Times New Roman"/>
                <w:b/>
                <w:bCs/>
                <w:iCs/>
                <w:sz w:val="20"/>
                <w:szCs w:val="20"/>
                <w:lang w:eastAsia="en-GB"/>
              </w:rPr>
              <w:t>0</w:t>
            </w:r>
            <w:r>
              <w:rPr>
                <w:rFonts w:eastAsia="Times New Roman"/>
                <w:b/>
                <w:bCs/>
                <w:iCs/>
                <w:sz w:val="20"/>
                <w:szCs w:val="20"/>
                <w:lang w:eastAsia="en-GB"/>
              </w:rPr>
              <w:t>,</w:t>
            </w:r>
            <w:r w:rsidR="0080103E">
              <w:rPr>
                <w:rFonts w:eastAsia="Times New Roman"/>
                <w:b/>
                <w:bCs/>
                <w:iCs/>
                <w:sz w:val="20"/>
                <w:szCs w:val="20"/>
                <w:lang w:eastAsia="en-GB"/>
              </w:rPr>
              <w:t>000</w:t>
            </w:r>
          </w:p>
        </w:tc>
        <w:tc>
          <w:tcPr>
            <w:tcW w:w="1884" w:type="dxa"/>
            <w:tcBorders>
              <w:top w:val="single" w:sz="4" w:space="0" w:color="auto"/>
            </w:tcBorders>
            <w:shd w:val="clear" w:color="auto" w:fill="D9D9D9" w:themeFill="background1" w:themeFillShade="D9"/>
          </w:tcPr>
          <w:p w:rsidR="00B37350" w:rsidRPr="001E5F1C" w:rsidRDefault="00F07C1A" w:rsidP="00F07C1A">
            <w:pPr>
              <w:tabs>
                <w:tab w:val="left" w:pos="567"/>
                <w:tab w:val="right" w:pos="9338"/>
              </w:tabs>
              <w:spacing w:before="120" w:after="120" w:line="240" w:lineRule="exact"/>
              <w:jc w:val="center"/>
              <w:rPr>
                <w:rFonts w:eastAsia="Times New Roman"/>
                <w:b/>
                <w:bCs/>
                <w:iCs/>
                <w:sz w:val="20"/>
                <w:szCs w:val="20"/>
                <w:lang w:eastAsia="en-GB"/>
              </w:rPr>
            </w:pPr>
            <w:r w:rsidRPr="001E5F1C">
              <w:rPr>
                <w:rFonts w:eastAsia="Times New Roman"/>
                <w:b/>
                <w:bCs/>
                <w:iCs/>
                <w:sz w:val="20"/>
                <w:szCs w:val="20"/>
                <w:lang w:eastAsia="en-GB"/>
              </w:rPr>
              <w:t>2,855,000</w:t>
            </w:r>
          </w:p>
        </w:tc>
      </w:tr>
    </w:tbl>
    <w:p w:rsidR="00463965" w:rsidRDefault="00463965">
      <w:pPr>
        <w:rPr>
          <w:rFonts w:eastAsiaTheme="majorEastAsia"/>
          <w:bCs/>
          <w:iCs/>
          <w:sz w:val="22"/>
          <w:szCs w:val="22"/>
        </w:rPr>
      </w:pPr>
    </w:p>
    <w:p w:rsidR="00CC2BAF" w:rsidRPr="00CC2BAF" w:rsidRDefault="00463965" w:rsidP="0029521F">
      <w:pPr>
        <w:pStyle w:val="ListParagraph"/>
        <w:numPr>
          <w:ilvl w:val="0"/>
          <w:numId w:val="48"/>
        </w:numPr>
        <w:rPr>
          <w:rFonts w:eastAsiaTheme="majorEastAsia"/>
          <w:bCs/>
          <w:iCs/>
          <w:sz w:val="22"/>
          <w:szCs w:val="22"/>
        </w:rPr>
      </w:pPr>
      <w:r w:rsidRPr="00CC2BAF">
        <w:rPr>
          <w:rFonts w:eastAsiaTheme="majorEastAsia"/>
          <w:bCs/>
          <w:iCs/>
          <w:sz w:val="22"/>
          <w:szCs w:val="22"/>
        </w:rPr>
        <w:t>If the JSP continues on a statutory route, the total estimated cost is approximately £3.9 million over the project period.  If the project were to take a non-statutory route there would be no need for examination and associated legal costs and this, together with the reduced time for the project reduces the costs to £2.9 million over the project life.</w:t>
      </w:r>
    </w:p>
    <w:p w:rsidR="00CC2BAF" w:rsidRPr="00CC2BAF" w:rsidRDefault="00CC2BAF" w:rsidP="00CC2BAF">
      <w:pPr>
        <w:pStyle w:val="ListParagraph"/>
        <w:ind w:left="360"/>
        <w:rPr>
          <w:rFonts w:eastAsiaTheme="majorEastAsia"/>
          <w:bCs/>
          <w:iCs/>
          <w:sz w:val="22"/>
          <w:szCs w:val="22"/>
        </w:rPr>
      </w:pPr>
    </w:p>
    <w:p w:rsidR="00D30DF6" w:rsidRPr="00CC2BAF" w:rsidRDefault="009100E9" w:rsidP="0029521F">
      <w:pPr>
        <w:pStyle w:val="ListParagraph"/>
        <w:numPr>
          <w:ilvl w:val="0"/>
          <w:numId w:val="48"/>
        </w:numPr>
        <w:rPr>
          <w:rFonts w:eastAsiaTheme="majorEastAsia"/>
          <w:bCs/>
          <w:iCs/>
          <w:sz w:val="22"/>
          <w:szCs w:val="22"/>
        </w:rPr>
      </w:pPr>
      <w:r w:rsidRPr="00CC2BAF">
        <w:rPr>
          <w:rFonts w:eastAsiaTheme="majorEastAsia"/>
          <w:bCs/>
          <w:iCs/>
          <w:sz w:val="22"/>
          <w:szCs w:val="22"/>
        </w:rPr>
        <w:t>Comparing the c</w:t>
      </w:r>
      <w:r w:rsidR="008672B3" w:rsidRPr="00CC2BAF">
        <w:rPr>
          <w:rFonts w:eastAsiaTheme="majorEastAsia"/>
          <w:bCs/>
          <w:iCs/>
          <w:sz w:val="22"/>
          <w:szCs w:val="22"/>
        </w:rPr>
        <w:t>osts between the Statutory and N</w:t>
      </w:r>
      <w:r w:rsidRPr="00CC2BAF">
        <w:rPr>
          <w:rFonts w:eastAsiaTheme="majorEastAsia"/>
          <w:bCs/>
          <w:iCs/>
          <w:sz w:val="22"/>
          <w:szCs w:val="22"/>
        </w:rPr>
        <w:t xml:space="preserve">on-Statutory </w:t>
      </w:r>
      <w:r w:rsidR="008672B3" w:rsidRPr="00CC2BAF">
        <w:rPr>
          <w:rFonts w:eastAsiaTheme="majorEastAsia"/>
          <w:bCs/>
          <w:iCs/>
          <w:sz w:val="22"/>
          <w:szCs w:val="22"/>
        </w:rPr>
        <w:t>Plan</w:t>
      </w:r>
      <w:r w:rsidRPr="00CC2BAF">
        <w:rPr>
          <w:rFonts w:eastAsiaTheme="majorEastAsia"/>
          <w:bCs/>
          <w:iCs/>
          <w:sz w:val="22"/>
          <w:szCs w:val="22"/>
        </w:rPr>
        <w:t>.</w:t>
      </w:r>
      <w:r w:rsidR="004B233F" w:rsidRPr="00CC2BAF">
        <w:rPr>
          <w:rFonts w:eastAsiaTheme="majorEastAsia"/>
          <w:bCs/>
          <w:iCs/>
          <w:sz w:val="22"/>
          <w:szCs w:val="22"/>
        </w:rPr>
        <w:t xml:space="preserve">  </w:t>
      </w:r>
      <w:r w:rsidR="004B233F" w:rsidRPr="00CC2BAF">
        <w:rPr>
          <w:rFonts w:eastAsia="Calibri"/>
          <w:bCs/>
          <w:iCs/>
          <w:sz w:val="22"/>
          <w:szCs w:val="22"/>
        </w:rPr>
        <w:t>The costs up to and including 2019/20 are substantially the same whether it is a statutory or non-statutory plan.</w:t>
      </w:r>
    </w:p>
    <w:p w:rsidR="00812F42" w:rsidRPr="0026224F" w:rsidRDefault="00812F42" w:rsidP="00812F42">
      <w:pPr>
        <w:rPr>
          <w:rFonts w:eastAsiaTheme="majorEastAsia"/>
          <w:bCs/>
          <w:iCs/>
          <w:sz w:val="22"/>
          <w:szCs w:val="22"/>
        </w:rPr>
      </w:pPr>
    </w:p>
    <w:tbl>
      <w:tblPr>
        <w:tblStyle w:val="TableGrid"/>
        <w:tblW w:w="8122" w:type="dxa"/>
        <w:tblInd w:w="108" w:type="dxa"/>
        <w:tblLook w:val="04A0" w:firstRow="1" w:lastRow="0" w:firstColumn="1" w:lastColumn="0" w:noHBand="0" w:noVBand="1"/>
      </w:tblPr>
      <w:tblGrid>
        <w:gridCol w:w="1485"/>
        <w:gridCol w:w="1219"/>
        <w:gridCol w:w="1280"/>
        <w:gridCol w:w="1306"/>
        <w:gridCol w:w="1473"/>
        <w:gridCol w:w="1359"/>
      </w:tblGrid>
      <w:tr w:rsidR="00812F42" w:rsidRPr="00ED57C1" w:rsidTr="00E7266C">
        <w:tc>
          <w:tcPr>
            <w:tcW w:w="1485"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both"/>
              <w:rPr>
                <w:rFonts w:eastAsia="Times New Roman"/>
                <w:b/>
                <w:bCs/>
                <w:iCs/>
                <w:sz w:val="22"/>
                <w:szCs w:val="22"/>
                <w:lang w:eastAsia="en-GB"/>
              </w:rPr>
            </w:pPr>
          </w:p>
        </w:tc>
        <w:tc>
          <w:tcPr>
            <w:tcW w:w="1219"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2017/18</w:t>
            </w:r>
          </w:p>
        </w:tc>
        <w:tc>
          <w:tcPr>
            <w:tcW w:w="1280"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2018/19</w:t>
            </w:r>
          </w:p>
        </w:tc>
        <w:tc>
          <w:tcPr>
            <w:tcW w:w="1306"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2019/20</w:t>
            </w:r>
          </w:p>
        </w:tc>
        <w:tc>
          <w:tcPr>
            <w:tcW w:w="1473"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center"/>
              <w:rPr>
                <w:rFonts w:eastAsia="Times New Roman"/>
                <w:b/>
                <w:bCs/>
                <w:iCs/>
                <w:sz w:val="22"/>
                <w:szCs w:val="22"/>
                <w:lang w:eastAsia="en-GB"/>
              </w:rPr>
            </w:pPr>
            <w:r w:rsidRPr="00ED57C1">
              <w:rPr>
                <w:rFonts w:eastAsia="Times New Roman"/>
                <w:b/>
                <w:bCs/>
                <w:iCs/>
                <w:sz w:val="22"/>
                <w:szCs w:val="22"/>
                <w:lang w:eastAsia="en-GB"/>
              </w:rPr>
              <w:t>202</w:t>
            </w:r>
            <w:r>
              <w:rPr>
                <w:rFonts w:eastAsia="Times New Roman"/>
                <w:b/>
                <w:bCs/>
                <w:iCs/>
                <w:sz w:val="22"/>
                <w:szCs w:val="22"/>
                <w:lang w:eastAsia="en-GB"/>
              </w:rPr>
              <w:t>0</w:t>
            </w:r>
            <w:r w:rsidRPr="00ED57C1">
              <w:rPr>
                <w:rFonts w:eastAsia="Times New Roman"/>
                <w:b/>
                <w:bCs/>
                <w:iCs/>
                <w:sz w:val="22"/>
                <w:szCs w:val="22"/>
                <w:lang w:eastAsia="en-GB"/>
              </w:rPr>
              <w:t>/2</w:t>
            </w:r>
            <w:r>
              <w:rPr>
                <w:rFonts w:eastAsia="Times New Roman"/>
                <w:b/>
                <w:bCs/>
                <w:iCs/>
                <w:sz w:val="22"/>
                <w:szCs w:val="22"/>
                <w:lang w:eastAsia="en-GB"/>
              </w:rPr>
              <w:t>1</w:t>
            </w:r>
          </w:p>
        </w:tc>
        <w:tc>
          <w:tcPr>
            <w:tcW w:w="1359" w:type="dxa"/>
            <w:shd w:val="clear" w:color="auto" w:fill="A6A6A6" w:themeFill="background1" w:themeFillShade="A6"/>
          </w:tcPr>
          <w:p w:rsidR="00812F42" w:rsidRPr="00ED57C1" w:rsidRDefault="00812F42" w:rsidP="00E7266C">
            <w:pPr>
              <w:tabs>
                <w:tab w:val="left" w:pos="567"/>
                <w:tab w:val="right" w:pos="9338"/>
              </w:tabs>
              <w:spacing w:before="120" w:after="120" w:line="240" w:lineRule="exact"/>
              <w:jc w:val="center"/>
              <w:rPr>
                <w:rFonts w:eastAsia="Times New Roman"/>
                <w:b/>
                <w:bCs/>
                <w:iCs/>
                <w:sz w:val="22"/>
                <w:szCs w:val="22"/>
                <w:lang w:eastAsia="en-GB"/>
              </w:rPr>
            </w:pPr>
            <w:r>
              <w:rPr>
                <w:rFonts w:eastAsia="Times New Roman"/>
                <w:b/>
                <w:bCs/>
                <w:iCs/>
                <w:sz w:val="22"/>
                <w:szCs w:val="22"/>
                <w:lang w:eastAsia="en-GB"/>
              </w:rPr>
              <w:t>Total project costs</w:t>
            </w:r>
          </w:p>
        </w:tc>
      </w:tr>
      <w:tr w:rsidR="009100E9" w:rsidRPr="00ED57C1" w:rsidTr="00E7266C">
        <w:tc>
          <w:tcPr>
            <w:tcW w:w="1485" w:type="dxa"/>
          </w:tcPr>
          <w:p w:rsidR="009100E9" w:rsidRPr="008F3096" w:rsidRDefault="009100E9" w:rsidP="00E7266C">
            <w:pPr>
              <w:tabs>
                <w:tab w:val="left" w:pos="567"/>
                <w:tab w:val="right" w:pos="9338"/>
              </w:tabs>
              <w:spacing w:before="120" w:after="120" w:line="240" w:lineRule="exact"/>
              <w:rPr>
                <w:rFonts w:eastAsia="Times New Roman"/>
                <w:b/>
                <w:bCs/>
                <w:iCs/>
                <w:sz w:val="18"/>
                <w:szCs w:val="18"/>
                <w:lang w:eastAsia="en-GB"/>
              </w:rPr>
            </w:pPr>
            <w:r>
              <w:rPr>
                <w:rFonts w:eastAsiaTheme="majorEastAsia"/>
                <w:bCs/>
                <w:iCs/>
                <w:sz w:val="22"/>
                <w:szCs w:val="22"/>
              </w:rPr>
              <w:t>Statutory Plan</w:t>
            </w:r>
          </w:p>
        </w:tc>
        <w:tc>
          <w:tcPr>
            <w:tcW w:w="1219" w:type="dxa"/>
          </w:tcPr>
          <w:p w:rsidR="009100E9" w:rsidRPr="006014C7" w:rsidRDefault="0050574C" w:rsidP="00E7266C">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260,000</w:t>
            </w:r>
          </w:p>
        </w:tc>
        <w:tc>
          <w:tcPr>
            <w:tcW w:w="1280" w:type="dxa"/>
          </w:tcPr>
          <w:p w:rsidR="009100E9" w:rsidRPr="006014C7" w:rsidRDefault="009100E9" w:rsidP="0050574C">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1,24</w:t>
            </w:r>
            <w:r w:rsidR="0050574C">
              <w:rPr>
                <w:rFonts w:eastAsia="Times New Roman"/>
                <w:b/>
                <w:bCs/>
                <w:iCs/>
                <w:sz w:val="20"/>
                <w:szCs w:val="20"/>
                <w:lang w:eastAsia="en-GB"/>
              </w:rPr>
              <w:t>5</w:t>
            </w:r>
            <w:r>
              <w:rPr>
                <w:rFonts w:eastAsia="Times New Roman"/>
                <w:b/>
                <w:bCs/>
                <w:iCs/>
                <w:sz w:val="20"/>
                <w:szCs w:val="20"/>
                <w:lang w:eastAsia="en-GB"/>
              </w:rPr>
              <w:t>,</w:t>
            </w:r>
            <w:r w:rsidR="0050574C">
              <w:rPr>
                <w:rFonts w:eastAsia="Times New Roman"/>
                <w:b/>
                <w:bCs/>
                <w:iCs/>
                <w:sz w:val="20"/>
                <w:szCs w:val="20"/>
                <w:lang w:eastAsia="en-GB"/>
              </w:rPr>
              <w:t>00</w:t>
            </w:r>
            <w:r>
              <w:rPr>
                <w:rFonts w:eastAsia="Times New Roman"/>
                <w:b/>
                <w:bCs/>
                <w:iCs/>
                <w:sz w:val="20"/>
                <w:szCs w:val="20"/>
                <w:lang w:eastAsia="en-GB"/>
              </w:rPr>
              <w:t>0</w:t>
            </w:r>
          </w:p>
        </w:tc>
        <w:tc>
          <w:tcPr>
            <w:tcW w:w="1306" w:type="dxa"/>
          </w:tcPr>
          <w:p w:rsidR="009100E9" w:rsidRPr="006014C7" w:rsidRDefault="009100E9" w:rsidP="0050574C">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1,31</w:t>
            </w:r>
            <w:r w:rsidR="0050574C">
              <w:rPr>
                <w:rFonts w:eastAsia="Times New Roman"/>
                <w:b/>
                <w:bCs/>
                <w:iCs/>
                <w:sz w:val="20"/>
                <w:szCs w:val="20"/>
                <w:lang w:eastAsia="en-GB"/>
              </w:rPr>
              <w:t>0</w:t>
            </w:r>
            <w:r>
              <w:rPr>
                <w:rFonts w:eastAsia="Times New Roman"/>
                <w:b/>
                <w:bCs/>
                <w:iCs/>
                <w:sz w:val="20"/>
                <w:szCs w:val="20"/>
                <w:lang w:eastAsia="en-GB"/>
              </w:rPr>
              <w:t>,</w:t>
            </w:r>
            <w:r w:rsidR="0050574C">
              <w:rPr>
                <w:rFonts w:eastAsia="Times New Roman"/>
                <w:b/>
                <w:bCs/>
                <w:iCs/>
                <w:sz w:val="20"/>
                <w:szCs w:val="20"/>
                <w:lang w:eastAsia="en-GB"/>
              </w:rPr>
              <w:t>000</w:t>
            </w:r>
          </w:p>
        </w:tc>
        <w:tc>
          <w:tcPr>
            <w:tcW w:w="1473" w:type="dxa"/>
          </w:tcPr>
          <w:p w:rsidR="009100E9" w:rsidRPr="006014C7" w:rsidRDefault="009100E9" w:rsidP="0050574C">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1,07</w:t>
            </w:r>
            <w:r w:rsidR="0050574C">
              <w:rPr>
                <w:rFonts w:eastAsia="Times New Roman"/>
                <w:b/>
                <w:bCs/>
                <w:iCs/>
                <w:sz w:val="20"/>
                <w:szCs w:val="20"/>
                <w:lang w:eastAsia="en-GB"/>
              </w:rPr>
              <w:t>0</w:t>
            </w:r>
            <w:r>
              <w:rPr>
                <w:rFonts w:eastAsia="Times New Roman"/>
                <w:b/>
                <w:bCs/>
                <w:iCs/>
                <w:sz w:val="20"/>
                <w:szCs w:val="20"/>
                <w:lang w:eastAsia="en-GB"/>
              </w:rPr>
              <w:t>,000</w:t>
            </w:r>
          </w:p>
        </w:tc>
        <w:tc>
          <w:tcPr>
            <w:tcW w:w="1359" w:type="dxa"/>
          </w:tcPr>
          <w:p w:rsidR="009100E9" w:rsidRDefault="009100E9" w:rsidP="00A9332A">
            <w:pPr>
              <w:tabs>
                <w:tab w:val="left" w:pos="567"/>
                <w:tab w:val="right" w:pos="9338"/>
              </w:tabs>
              <w:spacing w:before="120" w:after="120" w:line="240" w:lineRule="exact"/>
              <w:jc w:val="center"/>
              <w:rPr>
                <w:rFonts w:eastAsia="Times New Roman"/>
                <w:b/>
                <w:bCs/>
                <w:iCs/>
                <w:sz w:val="20"/>
                <w:szCs w:val="20"/>
                <w:lang w:eastAsia="en-GB"/>
              </w:rPr>
            </w:pPr>
            <w:r>
              <w:rPr>
                <w:rFonts w:eastAsia="Times New Roman"/>
                <w:b/>
                <w:bCs/>
                <w:iCs/>
                <w:sz w:val="20"/>
                <w:szCs w:val="20"/>
                <w:lang w:eastAsia="en-GB"/>
              </w:rPr>
              <w:t>3,88</w:t>
            </w:r>
            <w:r w:rsidR="00A9332A">
              <w:rPr>
                <w:rFonts w:eastAsia="Times New Roman"/>
                <w:b/>
                <w:bCs/>
                <w:iCs/>
                <w:sz w:val="20"/>
                <w:szCs w:val="20"/>
                <w:lang w:eastAsia="en-GB"/>
              </w:rPr>
              <w:t>5</w:t>
            </w:r>
            <w:r>
              <w:rPr>
                <w:rFonts w:eastAsia="Times New Roman"/>
                <w:b/>
                <w:bCs/>
                <w:iCs/>
                <w:sz w:val="20"/>
                <w:szCs w:val="20"/>
                <w:lang w:eastAsia="en-GB"/>
              </w:rPr>
              <w:t>,0</w:t>
            </w:r>
            <w:r w:rsidR="00A9332A">
              <w:rPr>
                <w:rFonts w:eastAsia="Times New Roman"/>
                <w:b/>
                <w:bCs/>
                <w:iCs/>
                <w:sz w:val="20"/>
                <w:szCs w:val="20"/>
                <w:lang w:eastAsia="en-GB"/>
              </w:rPr>
              <w:t>0</w:t>
            </w:r>
            <w:r>
              <w:rPr>
                <w:rFonts w:eastAsia="Times New Roman"/>
                <w:b/>
                <w:bCs/>
                <w:iCs/>
                <w:sz w:val="20"/>
                <w:szCs w:val="20"/>
                <w:lang w:eastAsia="en-GB"/>
              </w:rPr>
              <w:t>0</w:t>
            </w:r>
          </w:p>
        </w:tc>
      </w:tr>
      <w:tr w:rsidR="00812F42" w:rsidRPr="00ED57C1" w:rsidTr="00E7266C">
        <w:tc>
          <w:tcPr>
            <w:tcW w:w="1485" w:type="dxa"/>
          </w:tcPr>
          <w:p w:rsidR="00812F42" w:rsidRPr="008F3096" w:rsidRDefault="009100E9" w:rsidP="00E7266C">
            <w:pPr>
              <w:tabs>
                <w:tab w:val="left" w:pos="567"/>
                <w:tab w:val="right" w:pos="9338"/>
              </w:tabs>
              <w:spacing w:before="120" w:after="120" w:line="240" w:lineRule="exact"/>
              <w:rPr>
                <w:rFonts w:eastAsia="Times New Roman"/>
                <w:b/>
                <w:bCs/>
                <w:iCs/>
                <w:sz w:val="18"/>
                <w:szCs w:val="18"/>
                <w:lang w:eastAsia="en-GB"/>
              </w:rPr>
            </w:pPr>
            <w:r>
              <w:rPr>
                <w:rFonts w:eastAsia="Times New Roman"/>
                <w:b/>
                <w:bCs/>
                <w:iCs/>
                <w:sz w:val="18"/>
                <w:szCs w:val="18"/>
                <w:lang w:eastAsia="en-GB"/>
              </w:rPr>
              <w:t>1/6</w:t>
            </w:r>
            <w:r w:rsidR="004C45DC">
              <w:rPr>
                <w:rFonts w:eastAsia="Times New Roman"/>
                <w:b/>
                <w:bCs/>
                <w:iCs/>
                <w:sz w:val="18"/>
                <w:szCs w:val="18"/>
                <w:lang w:eastAsia="en-GB"/>
              </w:rPr>
              <w:t xml:space="preserve"> ~</w:t>
            </w:r>
          </w:p>
        </w:tc>
        <w:tc>
          <w:tcPr>
            <w:tcW w:w="1219" w:type="dxa"/>
          </w:tcPr>
          <w:p w:rsidR="00812F42" w:rsidRPr="003E3289" w:rsidRDefault="00746F61" w:rsidP="0050574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43,</w:t>
            </w:r>
            <w:r w:rsidR="0050574C">
              <w:rPr>
                <w:rFonts w:eastAsia="Times New Roman"/>
                <w:bCs/>
                <w:iCs/>
                <w:sz w:val="20"/>
                <w:szCs w:val="20"/>
                <w:lang w:eastAsia="en-GB"/>
              </w:rPr>
              <w:t>5</w:t>
            </w:r>
            <w:r>
              <w:rPr>
                <w:rFonts w:eastAsia="Times New Roman"/>
                <w:bCs/>
                <w:iCs/>
                <w:sz w:val="20"/>
                <w:szCs w:val="20"/>
                <w:lang w:eastAsia="en-GB"/>
              </w:rPr>
              <w:t>00</w:t>
            </w:r>
          </w:p>
        </w:tc>
        <w:tc>
          <w:tcPr>
            <w:tcW w:w="1280" w:type="dxa"/>
          </w:tcPr>
          <w:p w:rsidR="00812F42" w:rsidRPr="003E3289" w:rsidRDefault="00746F61" w:rsidP="0050574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207,</w:t>
            </w:r>
            <w:r w:rsidR="0050574C">
              <w:rPr>
                <w:rFonts w:eastAsia="Times New Roman"/>
                <w:bCs/>
                <w:iCs/>
                <w:sz w:val="20"/>
                <w:szCs w:val="20"/>
                <w:lang w:eastAsia="en-GB"/>
              </w:rPr>
              <w:t>500</w:t>
            </w:r>
          </w:p>
        </w:tc>
        <w:tc>
          <w:tcPr>
            <w:tcW w:w="1306" w:type="dxa"/>
          </w:tcPr>
          <w:p w:rsidR="00812F42" w:rsidRPr="003E3289" w:rsidRDefault="00746F61" w:rsidP="0050574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218,</w:t>
            </w:r>
            <w:r w:rsidR="0050574C">
              <w:rPr>
                <w:rFonts w:eastAsia="Times New Roman"/>
                <w:bCs/>
                <w:iCs/>
                <w:sz w:val="20"/>
                <w:szCs w:val="20"/>
                <w:lang w:eastAsia="en-GB"/>
              </w:rPr>
              <w:t>500</w:t>
            </w:r>
          </w:p>
        </w:tc>
        <w:tc>
          <w:tcPr>
            <w:tcW w:w="1473" w:type="dxa"/>
          </w:tcPr>
          <w:p w:rsidR="00812F42" w:rsidRPr="003E3289" w:rsidRDefault="00746F61"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178,500</w:t>
            </w:r>
          </w:p>
        </w:tc>
        <w:tc>
          <w:tcPr>
            <w:tcW w:w="1359" w:type="dxa"/>
          </w:tcPr>
          <w:p w:rsidR="00812F42" w:rsidRPr="003E3289" w:rsidRDefault="00746F61" w:rsidP="00A9332A">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64</w:t>
            </w:r>
            <w:r w:rsidR="00A9332A">
              <w:rPr>
                <w:rFonts w:eastAsia="Times New Roman"/>
                <w:bCs/>
                <w:iCs/>
                <w:sz w:val="20"/>
                <w:szCs w:val="20"/>
                <w:lang w:eastAsia="en-GB"/>
              </w:rPr>
              <w:t>8</w:t>
            </w:r>
            <w:r>
              <w:rPr>
                <w:rFonts w:eastAsia="Times New Roman"/>
                <w:bCs/>
                <w:iCs/>
                <w:sz w:val="20"/>
                <w:szCs w:val="20"/>
                <w:lang w:eastAsia="en-GB"/>
              </w:rPr>
              <w:t>,</w:t>
            </w:r>
            <w:r w:rsidR="00A9332A">
              <w:rPr>
                <w:rFonts w:eastAsia="Times New Roman"/>
                <w:bCs/>
                <w:iCs/>
                <w:sz w:val="20"/>
                <w:szCs w:val="20"/>
                <w:lang w:eastAsia="en-GB"/>
              </w:rPr>
              <w:t>000</w:t>
            </w:r>
          </w:p>
        </w:tc>
      </w:tr>
      <w:tr w:rsidR="009100E9" w:rsidRPr="00ED57C1" w:rsidTr="00746F61">
        <w:trPr>
          <w:trHeight w:val="221"/>
        </w:trPr>
        <w:tc>
          <w:tcPr>
            <w:tcW w:w="8122" w:type="dxa"/>
            <w:gridSpan w:val="6"/>
          </w:tcPr>
          <w:p w:rsidR="009100E9" w:rsidRPr="003E3289" w:rsidRDefault="009100E9" w:rsidP="00E7266C">
            <w:pPr>
              <w:tabs>
                <w:tab w:val="left" w:pos="567"/>
                <w:tab w:val="right" w:pos="9338"/>
              </w:tabs>
              <w:spacing w:before="120" w:after="120" w:line="240" w:lineRule="exact"/>
              <w:jc w:val="center"/>
              <w:rPr>
                <w:rFonts w:eastAsia="Times New Roman"/>
                <w:bCs/>
                <w:iCs/>
                <w:sz w:val="20"/>
                <w:szCs w:val="20"/>
                <w:lang w:eastAsia="en-GB"/>
              </w:rPr>
            </w:pPr>
          </w:p>
        </w:tc>
      </w:tr>
      <w:tr w:rsidR="001E5F1C" w:rsidRPr="00ED57C1" w:rsidTr="00E7266C">
        <w:tc>
          <w:tcPr>
            <w:tcW w:w="1485" w:type="dxa"/>
          </w:tcPr>
          <w:p w:rsidR="001E5F1C" w:rsidRPr="008F3096" w:rsidRDefault="001E5F1C" w:rsidP="00E7266C">
            <w:pPr>
              <w:tabs>
                <w:tab w:val="left" w:pos="567"/>
                <w:tab w:val="right" w:pos="9338"/>
              </w:tabs>
              <w:spacing w:before="120" w:after="120" w:line="240" w:lineRule="exact"/>
              <w:rPr>
                <w:rFonts w:eastAsia="Times New Roman"/>
                <w:b/>
                <w:bCs/>
                <w:iCs/>
                <w:sz w:val="18"/>
                <w:szCs w:val="18"/>
                <w:lang w:eastAsia="en-GB"/>
              </w:rPr>
            </w:pPr>
            <w:r>
              <w:rPr>
                <w:rFonts w:eastAsiaTheme="majorEastAsia"/>
                <w:bCs/>
                <w:iCs/>
                <w:sz w:val="22"/>
                <w:szCs w:val="22"/>
              </w:rPr>
              <w:t>Non-Statutory P</w:t>
            </w:r>
            <w:r w:rsidRPr="00CF3045">
              <w:rPr>
                <w:rFonts w:eastAsiaTheme="majorEastAsia"/>
                <w:bCs/>
                <w:iCs/>
                <w:sz w:val="22"/>
                <w:szCs w:val="22"/>
              </w:rPr>
              <w:t>lan</w:t>
            </w:r>
          </w:p>
        </w:tc>
        <w:tc>
          <w:tcPr>
            <w:tcW w:w="1219" w:type="dxa"/>
          </w:tcPr>
          <w:p w:rsidR="001E5F1C" w:rsidRDefault="001E5F1C" w:rsidP="00ED5173">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250,000</w:t>
            </w:r>
          </w:p>
        </w:tc>
        <w:tc>
          <w:tcPr>
            <w:tcW w:w="1280" w:type="dxa"/>
          </w:tcPr>
          <w:p w:rsidR="001E5F1C" w:rsidRDefault="001E5F1C" w:rsidP="00ED5173">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1,190,000</w:t>
            </w:r>
          </w:p>
        </w:tc>
        <w:tc>
          <w:tcPr>
            <w:tcW w:w="1306" w:type="dxa"/>
          </w:tcPr>
          <w:p w:rsidR="001E5F1C" w:rsidRDefault="001E5F1C" w:rsidP="00ED5173">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1,155,000</w:t>
            </w:r>
          </w:p>
        </w:tc>
        <w:tc>
          <w:tcPr>
            <w:tcW w:w="1473" w:type="dxa"/>
          </w:tcPr>
          <w:p w:rsidR="001E5F1C" w:rsidRDefault="001E5F1C" w:rsidP="00ED5173">
            <w:pPr>
              <w:tabs>
                <w:tab w:val="left" w:pos="567"/>
                <w:tab w:val="right" w:pos="9338"/>
              </w:tabs>
              <w:spacing w:before="120" w:after="120" w:line="240" w:lineRule="exact"/>
              <w:jc w:val="center"/>
              <w:rPr>
                <w:rFonts w:eastAsia="Times New Roman"/>
                <w:bCs/>
                <w:iCs/>
                <w:sz w:val="20"/>
                <w:szCs w:val="20"/>
                <w:lang w:eastAsia="en-GB"/>
              </w:rPr>
            </w:pPr>
            <w:r>
              <w:rPr>
                <w:rFonts w:eastAsia="Times New Roman"/>
                <w:b/>
                <w:bCs/>
                <w:iCs/>
                <w:sz w:val="20"/>
                <w:szCs w:val="20"/>
                <w:lang w:eastAsia="en-GB"/>
              </w:rPr>
              <w:t>260,000</w:t>
            </w:r>
          </w:p>
        </w:tc>
        <w:tc>
          <w:tcPr>
            <w:tcW w:w="1359" w:type="dxa"/>
          </w:tcPr>
          <w:p w:rsidR="001E5F1C" w:rsidRPr="001E5F1C" w:rsidRDefault="001E5F1C" w:rsidP="00ED5173">
            <w:pPr>
              <w:tabs>
                <w:tab w:val="left" w:pos="567"/>
                <w:tab w:val="right" w:pos="9338"/>
              </w:tabs>
              <w:spacing w:before="120" w:after="120" w:line="240" w:lineRule="exact"/>
              <w:jc w:val="center"/>
              <w:rPr>
                <w:rFonts w:eastAsia="Times New Roman"/>
                <w:b/>
                <w:bCs/>
                <w:iCs/>
                <w:sz w:val="20"/>
                <w:szCs w:val="20"/>
                <w:lang w:eastAsia="en-GB"/>
              </w:rPr>
            </w:pPr>
            <w:r w:rsidRPr="001E5F1C">
              <w:rPr>
                <w:rFonts w:eastAsia="Times New Roman"/>
                <w:b/>
                <w:bCs/>
                <w:iCs/>
                <w:sz w:val="20"/>
                <w:szCs w:val="20"/>
                <w:lang w:eastAsia="en-GB"/>
              </w:rPr>
              <w:t>2,855,000</w:t>
            </w:r>
          </w:p>
        </w:tc>
      </w:tr>
      <w:tr w:rsidR="00812F42" w:rsidRPr="00ED57C1" w:rsidTr="00E7266C">
        <w:tc>
          <w:tcPr>
            <w:tcW w:w="1485" w:type="dxa"/>
          </w:tcPr>
          <w:p w:rsidR="00812F42" w:rsidRPr="00E14663" w:rsidRDefault="009100E9" w:rsidP="00E7266C">
            <w:pPr>
              <w:tabs>
                <w:tab w:val="left" w:pos="567"/>
                <w:tab w:val="right" w:pos="9338"/>
              </w:tabs>
              <w:spacing w:before="120" w:after="120" w:line="240" w:lineRule="exact"/>
              <w:rPr>
                <w:rFonts w:eastAsia="Times New Roman"/>
                <w:b/>
                <w:bCs/>
                <w:iCs/>
                <w:sz w:val="20"/>
                <w:szCs w:val="20"/>
                <w:lang w:eastAsia="en-GB"/>
              </w:rPr>
            </w:pPr>
            <w:r>
              <w:rPr>
                <w:rFonts w:eastAsia="Times New Roman"/>
                <w:b/>
                <w:bCs/>
                <w:iCs/>
                <w:sz w:val="20"/>
                <w:szCs w:val="20"/>
                <w:lang w:eastAsia="en-GB"/>
              </w:rPr>
              <w:t>1/6</w:t>
            </w:r>
            <w:r w:rsidR="004C45DC">
              <w:rPr>
                <w:rFonts w:eastAsia="Times New Roman"/>
                <w:b/>
                <w:bCs/>
                <w:iCs/>
                <w:sz w:val="20"/>
                <w:szCs w:val="20"/>
                <w:lang w:eastAsia="en-GB"/>
              </w:rPr>
              <w:t xml:space="preserve"> ~</w:t>
            </w:r>
          </w:p>
        </w:tc>
        <w:tc>
          <w:tcPr>
            <w:tcW w:w="1219" w:type="dxa"/>
          </w:tcPr>
          <w:p w:rsidR="00812F42" w:rsidRDefault="004C45DC" w:rsidP="00295368">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41,500</w:t>
            </w:r>
          </w:p>
        </w:tc>
        <w:tc>
          <w:tcPr>
            <w:tcW w:w="1280" w:type="dxa"/>
          </w:tcPr>
          <w:p w:rsidR="00812F42" w:rsidRDefault="004C45DC" w:rsidP="00295368">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198,500</w:t>
            </w:r>
          </w:p>
        </w:tc>
        <w:tc>
          <w:tcPr>
            <w:tcW w:w="1306" w:type="dxa"/>
          </w:tcPr>
          <w:p w:rsidR="00812F42" w:rsidRDefault="004C45DC" w:rsidP="00295368">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192,500</w:t>
            </w:r>
          </w:p>
        </w:tc>
        <w:tc>
          <w:tcPr>
            <w:tcW w:w="1473" w:type="dxa"/>
          </w:tcPr>
          <w:p w:rsidR="00812F42" w:rsidRDefault="004C45DC"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43,500</w:t>
            </w:r>
          </w:p>
        </w:tc>
        <w:tc>
          <w:tcPr>
            <w:tcW w:w="1359" w:type="dxa"/>
          </w:tcPr>
          <w:p w:rsidR="00812F42" w:rsidRDefault="004C45DC" w:rsidP="00E7266C">
            <w:pPr>
              <w:tabs>
                <w:tab w:val="left" w:pos="567"/>
                <w:tab w:val="right" w:pos="9338"/>
              </w:tabs>
              <w:spacing w:before="120" w:after="120" w:line="240" w:lineRule="exact"/>
              <w:jc w:val="center"/>
              <w:rPr>
                <w:rFonts w:eastAsia="Times New Roman"/>
                <w:bCs/>
                <w:iCs/>
                <w:sz w:val="20"/>
                <w:szCs w:val="20"/>
                <w:lang w:eastAsia="en-GB"/>
              </w:rPr>
            </w:pPr>
            <w:r>
              <w:rPr>
                <w:rFonts w:eastAsia="Times New Roman"/>
                <w:bCs/>
                <w:iCs/>
                <w:sz w:val="20"/>
                <w:szCs w:val="20"/>
                <w:lang w:eastAsia="en-GB"/>
              </w:rPr>
              <w:t>476,000</w:t>
            </w:r>
          </w:p>
        </w:tc>
      </w:tr>
    </w:tbl>
    <w:p w:rsidR="00812F42" w:rsidRDefault="00812F42" w:rsidP="00812F42">
      <w:pPr>
        <w:rPr>
          <w:rFonts w:eastAsiaTheme="majorEastAsia"/>
          <w:bCs/>
          <w:iCs/>
        </w:rPr>
      </w:pPr>
    </w:p>
    <w:p w:rsidR="00463965" w:rsidRDefault="00463965" w:rsidP="00812F42">
      <w:pPr>
        <w:rPr>
          <w:rFonts w:eastAsiaTheme="majorEastAsia"/>
          <w:bCs/>
          <w:iCs/>
        </w:rPr>
      </w:pPr>
    </w:p>
    <w:p w:rsidR="00D30DF6" w:rsidRPr="00B80A79" w:rsidRDefault="00463965" w:rsidP="0029521F">
      <w:pPr>
        <w:rPr>
          <w:rFonts w:eastAsiaTheme="majorEastAsia"/>
          <w:b/>
          <w:bCs/>
          <w:iCs/>
          <w:u w:val="single"/>
        </w:rPr>
      </w:pPr>
      <w:r w:rsidRPr="00B80A79">
        <w:rPr>
          <w:rFonts w:eastAsiaTheme="majorEastAsia"/>
          <w:b/>
          <w:bCs/>
          <w:iCs/>
          <w:u w:val="single"/>
        </w:rPr>
        <w:t>Predicted savings</w:t>
      </w:r>
    </w:p>
    <w:p w:rsidR="00B0319D" w:rsidRPr="00B0319D" w:rsidRDefault="00B0319D" w:rsidP="00B0319D">
      <w:pPr>
        <w:rPr>
          <w:rFonts w:eastAsia="Calibri"/>
          <w:sz w:val="22"/>
          <w:szCs w:val="22"/>
        </w:rPr>
      </w:pPr>
    </w:p>
    <w:p w:rsidR="00CC2BAF" w:rsidRPr="00CC2BAF" w:rsidRDefault="002C0B67" w:rsidP="00463965">
      <w:pPr>
        <w:pStyle w:val="ListParagraph"/>
        <w:numPr>
          <w:ilvl w:val="0"/>
          <w:numId w:val="48"/>
        </w:numPr>
        <w:rPr>
          <w:rFonts w:eastAsia="Calibri"/>
          <w:sz w:val="22"/>
          <w:szCs w:val="22"/>
        </w:rPr>
      </w:pPr>
      <w:r w:rsidRPr="00CC2BAF">
        <w:rPr>
          <w:rFonts w:eastAsiaTheme="majorEastAsia"/>
          <w:bCs/>
          <w:iCs/>
          <w:sz w:val="22"/>
          <w:szCs w:val="22"/>
        </w:rPr>
        <w:t xml:space="preserve">It is proposed that the cost of the JSP, whether statutory or non-statutory, are split 6 ways between the 5 District Councils and the County Council.  </w:t>
      </w:r>
      <w:r w:rsidR="007059F3">
        <w:rPr>
          <w:rFonts w:eastAsia="Calibri"/>
          <w:sz w:val="22"/>
          <w:szCs w:val="22"/>
        </w:rPr>
        <w:t xml:space="preserve">The production of the JSP will </w:t>
      </w:r>
      <w:r w:rsidR="006B0AA1">
        <w:rPr>
          <w:rFonts w:eastAsia="Calibri"/>
          <w:sz w:val="22"/>
          <w:szCs w:val="22"/>
        </w:rPr>
        <w:t xml:space="preserve">either </w:t>
      </w:r>
      <w:r w:rsidR="007059F3">
        <w:rPr>
          <w:rFonts w:eastAsia="Calibri"/>
          <w:sz w:val="22"/>
          <w:szCs w:val="22"/>
        </w:rPr>
        <w:t xml:space="preserve">replace or reduce the requirement for significant </w:t>
      </w:r>
      <w:r w:rsidR="007059F3" w:rsidRPr="00CC2BAF">
        <w:rPr>
          <w:rFonts w:eastAsia="Calibri"/>
          <w:sz w:val="22"/>
          <w:szCs w:val="22"/>
        </w:rPr>
        <w:t>e</w:t>
      </w:r>
      <w:r w:rsidR="000F7182">
        <w:rPr>
          <w:rFonts w:eastAsia="Calibri"/>
          <w:sz w:val="22"/>
          <w:szCs w:val="22"/>
        </w:rPr>
        <w:t>lements of this work at future local p</w:t>
      </w:r>
      <w:r w:rsidR="007059F3" w:rsidRPr="00CC2BAF">
        <w:rPr>
          <w:rFonts w:eastAsia="Calibri"/>
          <w:sz w:val="22"/>
          <w:szCs w:val="22"/>
        </w:rPr>
        <w:t>lan stages and result in efficiencies as a result of a single process.</w:t>
      </w:r>
      <w:r w:rsidR="00B0319D">
        <w:rPr>
          <w:rFonts w:eastAsia="Calibri"/>
          <w:sz w:val="22"/>
          <w:szCs w:val="22"/>
        </w:rPr>
        <w:t xml:space="preserve">  Senior planning advisors view is that the approach could deliver significant savings depending on scope.</w:t>
      </w:r>
    </w:p>
    <w:p w:rsidR="00CC2BAF" w:rsidRPr="00CC2BAF" w:rsidRDefault="00CC2BAF" w:rsidP="00CC2BAF">
      <w:pPr>
        <w:pStyle w:val="ListParagraph"/>
        <w:ind w:left="360"/>
        <w:rPr>
          <w:rFonts w:eastAsia="Calibri"/>
          <w:sz w:val="22"/>
          <w:szCs w:val="22"/>
        </w:rPr>
      </w:pPr>
    </w:p>
    <w:p w:rsidR="00463965" w:rsidRPr="00CC2BAF" w:rsidRDefault="00463965" w:rsidP="00463965">
      <w:pPr>
        <w:pStyle w:val="ListParagraph"/>
        <w:numPr>
          <w:ilvl w:val="0"/>
          <w:numId w:val="48"/>
        </w:numPr>
        <w:rPr>
          <w:rFonts w:eastAsia="Calibri"/>
          <w:sz w:val="22"/>
          <w:szCs w:val="22"/>
        </w:rPr>
      </w:pPr>
      <w:r w:rsidRPr="00CC2BAF">
        <w:rPr>
          <w:rFonts w:eastAsiaTheme="majorEastAsia"/>
          <w:bCs/>
          <w:iCs/>
          <w:sz w:val="22"/>
          <w:szCs w:val="22"/>
        </w:rPr>
        <w:t>These costs will depend heavily upon whether the JSP follows a non-statutory or statutory route with the former requiring less cost, but the latter offering greater potential cost savings to individual authorities in terms of their future individual local plan work.  Because of the need to build in flexibility to allow for future decisions about the status of the JSP the costs up to and including 2019/20 are substantially the same whether it is a statutory or non-statutory plan.</w:t>
      </w:r>
    </w:p>
    <w:p w:rsidR="00463965" w:rsidRPr="00CC2BAF" w:rsidRDefault="00463965" w:rsidP="00463965">
      <w:pPr>
        <w:rPr>
          <w:rFonts w:eastAsiaTheme="majorEastAsia"/>
          <w:bCs/>
          <w:iCs/>
          <w:sz w:val="22"/>
          <w:szCs w:val="22"/>
        </w:rPr>
      </w:pPr>
    </w:p>
    <w:p w:rsidR="00CC2BAF" w:rsidRPr="00CC2BAF" w:rsidRDefault="00463965" w:rsidP="00463965">
      <w:pPr>
        <w:pStyle w:val="ListParagraph"/>
        <w:numPr>
          <w:ilvl w:val="0"/>
          <w:numId w:val="48"/>
        </w:numPr>
        <w:rPr>
          <w:rFonts w:eastAsiaTheme="majorEastAsia"/>
          <w:bCs/>
          <w:iCs/>
          <w:sz w:val="22"/>
          <w:szCs w:val="22"/>
        </w:rPr>
      </w:pPr>
      <w:r w:rsidRPr="00CC2BAF">
        <w:rPr>
          <w:rFonts w:eastAsiaTheme="majorEastAsia"/>
          <w:bCs/>
          <w:iCs/>
          <w:sz w:val="22"/>
          <w:szCs w:val="22"/>
        </w:rPr>
        <w:t>Officers at each of the Local Authorities have estimated cost of delivering five new adopted local plans is circa £5,000,000 per plan (including the staffing inputs, evidence base, consultation, legal and examination costs).  Costs of delivering local plans across Oxfordshire would amount to £25 million.  Investing in the production of a JSP would reduce costs of developing these plans in future, resulting in savings for all the authorities overall.  There will also be savings in the costs of producing the county-wide mineral and waste plans and the Local Transport Plan.</w:t>
      </w:r>
    </w:p>
    <w:p w:rsidR="00CC2BAF" w:rsidRPr="00CC2BAF" w:rsidRDefault="00CC2BAF" w:rsidP="00CC2BAF">
      <w:pPr>
        <w:pStyle w:val="ListParagraph"/>
        <w:rPr>
          <w:rFonts w:eastAsiaTheme="majorEastAsia"/>
          <w:bCs/>
          <w:iCs/>
          <w:sz w:val="22"/>
          <w:szCs w:val="22"/>
        </w:rPr>
      </w:pPr>
    </w:p>
    <w:p w:rsidR="00CC2BAF" w:rsidRPr="00CC2BAF" w:rsidRDefault="00463965" w:rsidP="00463965">
      <w:pPr>
        <w:pStyle w:val="ListParagraph"/>
        <w:numPr>
          <w:ilvl w:val="0"/>
          <w:numId w:val="48"/>
        </w:numPr>
        <w:rPr>
          <w:rFonts w:eastAsiaTheme="majorEastAsia"/>
          <w:bCs/>
          <w:iCs/>
          <w:sz w:val="22"/>
          <w:szCs w:val="22"/>
        </w:rPr>
      </w:pPr>
      <w:r w:rsidRPr="00CC2BAF">
        <w:rPr>
          <w:rFonts w:eastAsiaTheme="majorEastAsia"/>
          <w:bCs/>
          <w:iCs/>
          <w:sz w:val="22"/>
          <w:szCs w:val="22"/>
        </w:rPr>
        <w:t>Officers have estimated that the production of a JSP would lead to a 10% saving in the production of their own local plans and the county-wide plans, equating to £500,000 per authority.  This would lead to a saving of £3,000,000.</w:t>
      </w:r>
    </w:p>
    <w:p w:rsidR="00CC2BAF" w:rsidRPr="00CC2BAF" w:rsidRDefault="00CC2BAF" w:rsidP="00CC2BAF">
      <w:pPr>
        <w:pStyle w:val="ListParagraph"/>
        <w:rPr>
          <w:rFonts w:eastAsiaTheme="majorEastAsia"/>
          <w:bCs/>
          <w:iCs/>
          <w:sz w:val="22"/>
          <w:szCs w:val="22"/>
        </w:rPr>
      </w:pPr>
    </w:p>
    <w:p w:rsidR="00463965" w:rsidRPr="00CC2BAF" w:rsidRDefault="00463965" w:rsidP="00463965">
      <w:pPr>
        <w:pStyle w:val="ListParagraph"/>
        <w:numPr>
          <w:ilvl w:val="0"/>
          <w:numId w:val="48"/>
        </w:numPr>
        <w:rPr>
          <w:rFonts w:eastAsiaTheme="majorEastAsia"/>
          <w:bCs/>
          <w:iCs/>
          <w:sz w:val="22"/>
          <w:szCs w:val="22"/>
        </w:rPr>
      </w:pPr>
      <w:r w:rsidRPr="00CC2BAF">
        <w:rPr>
          <w:rFonts w:eastAsiaTheme="majorEastAsia"/>
          <w:bCs/>
          <w:iCs/>
          <w:sz w:val="22"/>
          <w:szCs w:val="22"/>
        </w:rPr>
        <w:t>A significant part of the costs is the commissioning of the evidence base and specialist consultant advice on an Oxfordshire-wide basis.  This amounts to approximately £900,000 of the total costs.  This cost would be incurred w</w:t>
      </w:r>
      <w:r w:rsidR="00195BC5">
        <w:rPr>
          <w:rFonts w:eastAsiaTheme="majorEastAsia"/>
          <w:bCs/>
          <w:iCs/>
          <w:sz w:val="22"/>
          <w:szCs w:val="22"/>
        </w:rPr>
        <w:t>he</w:t>
      </w:r>
      <w:r w:rsidRPr="00CC2BAF">
        <w:rPr>
          <w:rFonts w:eastAsiaTheme="majorEastAsia"/>
          <w:bCs/>
          <w:iCs/>
          <w:sz w:val="22"/>
          <w:szCs w:val="22"/>
        </w:rPr>
        <w:t>ther there is jo</w:t>
      </w:r>
      <w:r w:rsidR="000F7182">
        <w:rPr>
          <w:rFonts w:eastAsiaTheme="majorEastAsia"/>
          <w:bCs/>
          <w:iCs/>
          <w:sz w:val="22"/>
          <w:szCs w:val="22"/>
        </w:rPr>
        <w:t>int spatial plan or individual local p</w:t>
      </w:r>
      <w:r w:rsidRPr="00CC2BAF">
        <w:rPr>
          <w:rFonts w:eastAsiaTheme="majorEastAsia"/>
          <w:bCs/>
          <w:iCs/>
          <w:sz w:val="22"/>
          <w:szCs w:val="22"/>
        </w:rPr>
        <w:t>lans.</w:t>
      </w:r>
    </w:p>
    <w:p w:rsidR="00463965" w:rsidRDefault="00463965" w:rsidP="0029521F">
      <w:pPr>
        <w:rPr>
          <w:rFonts w:eastAsiaTheme="majorEastAsia"/>
          <w:bCs/>
          <w:iCs/>
          <w:sz w:val="22"/>
          <w:szCs w:val="22"/>
        </w:rPr>
      </w:pPr>
    </w:p>
    <w:p w:rsidR="00085830" w:rsidRPr="00CC2BAF" w:rsidRDefault="00085830" w:rsidP="0029521F">
      <w:pPr>
        <w:rPr>
          <w:rFonts w:eastAsiaTheme="majorEastAsia"/>
          <w:bCs/>
          <w:iCs/>
          <w:sz w:val="22"/>
          <w:szCs w:val="22"/>
        </w:rPr>
      </w:pPr>
      <w:bookmarkStart w:id="0" w:name="_GoBack"/>
      <w:bookmarkEnd w:id="0"/>
    </w:p>
    <w:p w:rsidR="00ED57C1" w:rsidRPr="00ED57C1" w:rsidRDefault="00ED57C1" w:rsidP="00ED57C1">
      <w:pPr>
        <w:keepNext/>
        <w:keepLines/>
        <w:spacing w:before="120" w:after="120"/>
        <w:outlineLvl w:val="1"/>
        <w:rPr>
          <w:rFonts w:eastAsiaTheme="majorEastAsia"/>
          <w:b/>
          <w:bCs/>
          <w:iCs/>
          <w:u w:val="single"/>
        </w:rPr>
      </w:pPr>
      <w:r w:rsidRPr="00ED57C1">
        <w:rPr>
          <w:rFonts w:eastAsiaTheme="majorEastAsia"/>
          <w:b/>
          <w:bCs/>
          <w:iCs/>
          <w:u w:val="single"/>
        </w:rPr>
        <w:t xml:space="preserve">Risks, Constraints, Dependencies and Exclusions </w:t>
      </w:r>
    </w:p>
    <w:p w:rsidR="00ED57C1" w:rsidRPr="00963E84" w:rsidRDefault="00ED57C1" w:rsidP="00CC2BAF">
      <w:pPr>
        <w:pStyle w:val="ListParagraph"/>
        <w:numPr>
          <w:ilvl w:val="0"/>
          <w:numId w:val="48"/>
        </w:numPr>
        <w:rPr>
          <w:bCs/>
          <w:iCs/>
          <w:sz w:val="22"/>
          <w:szCs w:val="22"/>
        </w:rPr>
      </w:pPr>
      <w:r w:rsidRPr="00963E84">
        <w:rPr>
          <w:bCs/>
          <w:iCs/>
          <w:sz w:val="22"/>
          <w:szCs w:val="22"/>
        </w:rPr>
        <w:t>The key areas of risk are as follows:</w:t>
      </w:r>
    </w:p>
    <w:p w:rsidR="00ED57C1" w:rsidRPr="00ED57C1" w:rsidRDefault="00ED57C1" w:rsidP="00ED57C1">
      <w:pPr>
        <w:spacing w:after="120"/>
        <w:rPr>
          <w:bCs/>
          <w:i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gridCol w:w="1559"/>
      </w:tblGrid>
      <w:tr w:rsidR="00ED57C1" w:rsidRPr="00ED57C1" w:rsidTr="008576AA">
        <w:trPr>
          <w:trHeight w:val="434"/>
        </w:trPr>
        <w:tc>
          <w:tcPr>
            <w:tcW w:w="3686" w:type="dxa"/>
            <w:shd w:val="clear" w:color="auto" w:fill="A6A6A6" w:themeFill="background1" w:themeFillShade="A6"/>
          </w:tcPr>
          <w:p w:rsidR="00ED57C1" w:rsidRPr="00ED57C1" w:rsidRDefault="00ED57C1" w:rsidP="00ED57C1">
            <w:pPr>
              <w:widowControl w:val="0"/>
              <w:spacing w:before="120" w:after="120" w:line="240" w:lineRule="atLeast"/>
              <w:rPr>
                <w:rFonts w:eastAsia="Times New Roman" w:cs="Times New Roman"/>
                <w:b/>
                <w:sz w:val="22"/>
                <w:szCs w:val="22"/>
                <w:lang w:eastAsia="en-GB"/>
              </w:rPr>
            </w:pPr>
            <w:r w:rsidRPr="00ED57C1">
              <w:rPr>
                <w:rFonts w:eastAsia="Times New Roman" w:cs="Times New Roman"/>
                <w:b/>
                <w:sz w:val="22"/>
                <w:szCs w:val="22"/>
                <w:lang w:eastAsia="en-GB"/>
              </w:rPr>
              <w:t>Description of areas or sources of risk and impact on project</w:t>
            </w:r>
          </w:p>
        </w:tc>
        <w:tc>
          <w:tcPr>
            <w:tcW w:w="3685" w:type="dxa"/>
            <w:shd w:val="clear" w:color="auto" w:fill="A6A6A6" w:themeFill="background1" w:themeFillShade="A6"/>
          </w:tcPr>
          <w:p w:rsidR="00ED57C1" w:rsidRPr="00ED57C1" w:rsidRDefault="00ED57C1" w:rsidP="00ED57C1">
            <w:pPr>
              <w:widowControl w:val="0"/>
              <w:spacing w:before="120" w:after="120" w:line="240" w:lineRule="atLeast"/>
              <w:rPr>
                <w:rFonts w:eastAsia="Times New Roman" w:cs="Times New Roman"/>
                <w:b/>
                <w:sz w:val="22"/>
                <w:szCs w:val="22"/>
                <w:lang w:eastAsia="en-GB"/>
              </w:rPr>
            </w:pPr>
            <w:r w:rsidRPr="00ED57C1">
              <w:rPr>
                <w:rFonts w:eastAsia="Times New Roman" w:cs="Times New Roman"/>
                <w:b/>
                <w:sz w:val="22"/>
                <w:szCs w:val="22"/>
                <w:lang w:eastAsia="en-GB"/>
              </w:rPr>
              <w:t>Mitigation</w:t>
            </w:r>
          </w:p>
        </w:tc>
        <w:tc>
          <w:tcPr>
            <w:tcW w:w="1559" w:type="dxa"/>
            <w:shd w:val="clear" w:color="auto" w:fill="A6A6A6" w:themeFill="background1" w:themeFillShade="A6"/>
          </w:tcPr>
          <w:p w:rsidR="00ED57C1" w:rsidRPr="00ED57C1" w:rsidRDefault="00ED57C1" w:rsidP="00ED57C1">
            <w:pPr>
              <w:widowControl w:val="0"/>
              <w:spacing w:before="120" w:after="120" w:line="240" w:lineRule="atLeast"/>
              <w:rPr>
                <w:rFonts w:eastAsia="Times New Roman" w:cs="Times New Roman"/>
                <w:b/>
                <w:sz w:val="22"/>
                <w:szCs w:val="22"/>
                <w:lang w:eastAsia="en-GB"/>
              </w:rPr>
            </w:pPr>
            <w:r w:rsidRPr="00ED57C1">
              <w:rPr>
                <w:rFonts w:eastAsia="Times New Roman" w:cs="Times New Roman"/>
                <w:b/>
                <w:sz w:val="22"/>
                <w:szCs w:val="22"/>
                <w:lang w:eastAsia="en-GB"/>
              </w:rPr>
              <w:t>Owner</w:t>
            </w:r>
          </w:p>
        </w:tc>
      </w:tr>
      <w:tr w:rsidR="00ED57C1" w:rsidRPr="00ED57C1" w:rsidTr="008576AA">
        <w:tc>
          <w:tcPr>
            <w:tcW w:w="3686" w:type="dxa"/>
          </w:tcPr>
          <w:p w:rsidR="00ED57C1" w:rsidRPr="006062EA" w:rsidRDefault="00F40EB6" w:rsidP="00F40EB6">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If statutory, t</w:t>
            </w:r>
            <w:r w:rsidR="00ED57C1" w:rsidRPr="006062EA">
              <w:rPr>
                <w:rFonts w:eastAsia="Times New Roman" w:cs="Times New Roman"/>
                <w:sz w:val="20"/>
                <w:szCs w:val="20"/>
                <w:lang w:eastAsia="en-GB"/>
              </w:rPr>
              <w:t xml:space="preserve">he </w:t>
            </w:r>
            <w:r w:rsidR="006062EA">
              <w:rPr>
                <w:rFonts w:eastAsia="Times New Roman" w:cs="Times New Roman"/>
                <w:sz w:val="20"/>
                <w:szCs w:val="20"/>
                <w:lang w:eastAsia="en-GB"/>
              </w:rPr>
              <w:t>Joint S</w:t>
            </w:r>
            <w:r w:rsidR="00ED57C1" w:rsidRPr="006062EA">
              <w:rPr>
                <w:rFonts w:eastAsia="Times New Roman" w:cs="Times New Roman"/>
                <w:sz w:val="20"/>
                <w:szCs w:val="20"/>
                <w:lang w:eastAsia="en-GB"/>
              </w:rPr>
              <w:t xml:space="preserve">patial </w:t>
            </w:r>
            <w:r w:rsidR="00995E63">
              <w:rPr>
                <w:rFonts w:eastAsia="Times New Roman" w:cs="Times New Roman"/>
                <w:sz w:val="20"/>
                <w:szCs w:val="20"/>
                <w:lang w:eastAsia="en-GB"/>
              </w:rPr>
              <w:t>P</w:t>
            </w:r>
            <w:r w:rsidR="00ED57C1" w:rsidRPr="006062EA">
              <w:rPr>
                <w:rFonts w:eastAsia="Times New Roman" w:cs="Times New Roman"/>
                <w:sz w:val="20"/>
                <w:szCs w:val="20"/>
                <w:lang w:eastAsia="en-GB"/>
              </w:rPr>
              <w:t xml:space="preserve">lan will </w:t>
            </w:r>
            <w:r w:rsidR="001D486F">
              <w:rPr>
                <w:rFonts w:eastAsia="Times New Roman" w:cs="Times New Roman"/>
                <w:sz w:val="20"/>
                <w:szCs w:val="20"/>
                <w:lang w:eastAsia="en-GB"/>
              </w:rPr>
              <w:t xml:space="preserve">need to come into force at or close to the </w:t>
            </w:r>
            <w:r w:rsidR="00ED57C1" w:rsidRPr="006062EA">
              <w:rPr>
                <w:rFonts w:eastAsia="Times New Roman" w:cs="Times New Roman"/>
                <w:sz w:val="20"/>
                <w:szCs w:val="20"/>
                <w:lang w:eastAsia="en-GB"/>
              </w:rPr>
              <w:t>review date of the earliest local plan, any delays in the completion of the project will impact upon the ability of that authority to control growth within its district</w:t>
            </w:r>
          </w:p>
        </w:tc>
        <w:tc>
          <w:tcPr>
            <w:tcW w:w="3685" w:type="dxa"/>
          </w:tcPr>
          <w:p w:rsidR="00ED57C1" w:rsidRPr="006062EA" w:rsidRDefault="006062EA" w:rsidP="0033545A">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 xml:space="preserve">The district will need to maintain their </w:t>
            </w:r>
            <w:r w:rsidR="00CF3045" w:rsidRPr="006062EA">
              <w:rPr>
                <w:rFonts w:eastAsia="Times New Roman" w:cs="Times New Roman"/>
                <w:sz w:val="20"/>
                <w:szCs w:val="20"/>
                <w:lang w:eastAsia="en-GB"/>
              </w:rPr>
              <w:t>5-year</w:t>
            </w:r>
            <w:r w:rsidRPr="006062EA">
              <w:rPr>
                <w:rFonts w:eastAsia="Times New Roman" w:cs="Times New Roman"/>
                <w:sz w:val="20"/>
                <w:szCs w:val="20"/>
                <w:lang w:eastAsia="en-GB"/>
              </w:rPr>
              <w:t xml:space="preserve"> land supply after the review date to be able to contest speculative applications</w:t>
            </w:r>
            <w:r w:rsidR="0043062B">
              <w:rPr>
                <w:rFonts w:eastAsia="Times New Roman" w:cs="Times New Roman"/>
                <w:sz w:val="20"/>
                <w:szCs w:val="20"/>
                <w:lang w:eastAsia="en-GB"/>
              </w:rPr>
              <w:t xml:space="preserve"> or have successfully negotiated a</w:t>
            </w:r>
            <w:r w:rsidR="0033545A">
              <w:rPr>
                <w:rFonts w:eastAsia="Times New Roman" w:cs="Times New Roman"/>
                <w:sz w:val="20"/>
                <w:szCs w:val="20"/>
                <w:lang w:eastAsia="en-GB"/>
              </w:rPr>
              <w:t xml:space="preserve"> </w:t>
            </w:r>
            <w:r w:rsidR="00DE1BCC">
              <w:rPr>
                <w:rFonts w:eastAsia="Times New Roman" w:cs="Times New Roman"/>
                <w:sz w:val="20"/>
                <w:szCs w:val="20"/>
                <w:lang w:eastAsia="en-GB"/>
              </w:rPr>
              <w:t>bespoke arrangement</w:t>
            </w:r>
            <w:r w:rsidR="0043062B">
              <w:rPr>
                <w:rFonts w:eastAsia="Times New Roman" w:cs="Times New Roman"/>
                <w:sz w:val="20"/>
                <w:szCs w:val="20"/>
                <w:lang w:eastAsia="en-GB"/>
              </w:rPr>
              <w:t xml:space="preserve"> with DCLG that has legal force.</w:t>
            </w:r>
          </w:p>
        </w:tc>
        <w:tc>
          <w:tcPr>
            <w:tcW w:w="1559" w:type="dxa"/>
          </w:tcPr>
          <w:p w:rsidR="00ED57C1" w:rsidRPr="006C638F" w:rsidRDefault="00ED57C1" w:rsidP="00ED57C1">
            <w:pPr>
              <w:spacing w:before="120" w:after="120"/>
              <w:rPr>
                <w:iCs/>
                <w:sz w:val="20"/>
                <w:szCs w:val="20"/>
              </w:rPr>
            </w:pPr>
          </w:p>
          <w:p w:rsidR="006C638F" w:rsidRPr="006C638F" w:rsidRDefault="006C638F" w:rsidP="00ED57C1">
            <w:pPr>
              <w:spacing w:before="120" w:after="120"/>
              <w:rPr>
                <w:iCs/>
                <w:sz w:val="20"/>
                <w:szCs w:val="20"/>
              </w:rPr>
            </w:pPr>
            <w:r w:rsidRPr="006C638F">
              <w:rPr>
                <w:iCs/>
                <w:sz w:val="20"/>
                <w:szCs w:val="20"/>
              </w:rPr>
              <w:t xml:space="preserve">Project Board </w:t>
            </w:r>
          </w:p>
        </w:tc>
      </w:tr>
      <w:tr w:rsidR="00992E04" w:rsidRPr="00ED57C1" w:rsidTr="008576AA">
        <w:tc>
          <w:tcPr>
            <w:tcW w:w="3686" w:type="dxa"/>
          </w:tcPr>
          <w:p w:rsidR="00992E04" w:rsidRDefault="001F550F" w:rsidP="001F550F">
            <w:pPr>
              <w:widowControl w:val="0"/>
              <w:spacing w:before="120" w:after="120" w:line="240" w:lineRule="atLeast"/>
              <w:rPr>
                <w:rFonts w:eastAsia="Times New Roman" w:cs="Times New Roman"/>
                <w:sz w:val="20"/>
                <w:szCs w:val="20"/>
                <w:lang w:eastAsia="en-GB"/>
              </w:rPr>
            </w:pPr>
            <w:r w:rsidRPr="001F550F">
              <w:rPr>
                <w:rFonts w:eastAsia="Times New Roman" w:cs="Times New Roman"/>
                <w:sz w:val="20"/>
                <w:szCs w:val="20"/>
                <w:lang w:eastAsia="en-GB"/>
              </w:rPr>
              <w:t xml:space="preserve">Councils are not </w:t>
            </w:r>
            <w:proofErr w:type="gramStart"/>
            <w:r w:rsidRPr="001F550F">
              <w:rPr>
                <w:rFonts w:eastAsia="Times New Roman" w:cs="Times New Roman"/>
                <w:sz w:val="20"/>
                <w:szCs w:val="20"/>
                <w:lang w:eastAsia="en-GB"/>
              </w:rPr>
              <w:t>willing/able</w:t>
            </w:r>
            <w:proofErr w:type="gramEnd"/>
            <w:r w:rsidRPr="001F550F">
              <w:rPr>
                <w:rFonts w:eastAsia="Times New Roman" w:cs="Times New Roman"/>
                <w:sz w:val="20"/>
                <w:szCs w:val="20"/>
                <w:lang w:eastAsia="en-GB"/>
              </w:rPr>
              <w:t xml:space="preserve"> to delegate key decisions to the growth </w:t>
            </w:r>
            <w:r w:rsidR="00DE1BCC" w:rsidRPr="001F550F">
              <w:rPr>
                <w:rFonts w:eastAsia="Times New Roman" w:cs="Times New Roman"/>
                <w:sz w:val="20"/>
                <w:szCs w:val="20"/>
                <w:lang w:eastAsia="en-GB"/>
              </w:rPr>
              <w:t>board,</w:t>
            </w:r>
            <w:r w:rsidRPr="001F550F">
              <w:rPr>
                <w:rFonts w:eastAsia="Times New Roman" w:cs="Times New Roman"/>
                <w:sz w:val="20"/>
                <w:szCs w:val="20"/>
                <w:lang w:eastAsia="en-GB"/>
              </w:rPr>
              <w:t xml:space="preserve"> Instead </w:t>
            </w:r>
            <w:r w:rsidR="00992E04" w:rsidRPr="001F550F">
              <w:rPr>
                <w:rFonts w:eastAsia="Times New Roman" w:cs="Times New Roman"/>
                <w:sz w:val="20"/>
                <w:szCs w:val="20"/>
                <w:lang w:eastAsia="en-GB"/>
              </w:rPr>
              <w:t xml:space="preserve">each individual authority </w:t>
            </w:r>
            <w:r w:rsidRPr="001F550F">
              <w:rPr>
                <w:rFonts w:eastAsia="Times New Roman" w:cs="Times New Roman"/>
                <w:sz w:val="20"/>
                <w:szCs w:val="20"/>
                <w:lang w:eastAsia="en-GB"/>
              </w:rPr>
              <w:t>n</w:t>
            </w:r>
            <w:r w:rsidR="00DE1BCC">
              <w:rPr>
                <w:rFonts w:eastAsia="Times New Roman" w:cs="Times New Roman"/>
                <w:sz w:val="20"/>
                <w:szCs w:val="20"/>
                <w:lang w:eastAsia="en-GB"/>
              </w:rPr>
              <w:t>e</w:t>
            </w:r>
            <w:r w:rsidRPr="001F550F">
              <w:rPr>
                <w:rFonts w:eastAsia="Times New Roman" w:cs="Times New Roman"/>
                <w:sz w:val="20"/>
                <w:szCs w:val="20"/>
                <w:lang w:eastAsia="en-GB"/>
              </w:rPr>
              <w:t xml:space="preserve">eding </w:t>
            </w:r>
            <w:r w:rsidR="00992E04" w:rsidRPr="001F550F">
              <w:rPr>
                <w:rFonts w:eastAsia="Times New Roman" w:cs="Times New Roman"/>
                <w:sz w:val="20"/>
                <w:szCs w:val="20"/>
                <w:lang w:eastAsia="en-GB"/>
              </w:rPr>
              <w:t>to agree its own position at each of the key stages</w:t>
            </w:r>
            <w:r w:rsidRPr="001F550F">
              <w:rPr>
                <w:rFonts w:eastAsia="Times New Roman" w:cs="Times New Roman"/>
                <w:sz w:val="20"/>
                <w:szCs w:val="20"/>
                <w:lang w:eastAsia="en-GB"/>
              </w:rPr>
              <w:t>.</w:t>
            </w:r>
            <w:r w:rsidR="00992E04" w:rsidRPr="001F550F">
              <w:rPr>
                <w:rFonts w:eastAsia="Times New Roman" w:cs="Times New Roman"/>
                <w:sz w:val="20"/>
                <w:szCs w:val="20"/>
                <w:lang w:eastAsia="en-GB"/>
              </w:rPr>
              <w:t xml:space="preserve"> </w:t>
            </w:r>
          </w:p>
        </w:tc>
        <w:tc>
          <w:tcPr>
            <w:tcW w:w="3685" w:type="dxa"/>
          </w:tcPr>
          <w:p w:rsidR="00992E04" w:rsidRPr="006062EA" w:rsidRDefault="001F550F" w:rsidP="00996D39">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 xml:space="preserve">The timeline for the project is based upon collective agreement through the Growth board, either using leaders delegated authority for the </w:t>
            </w:r>
            <w:r w:rsidR="00DE1BCC">
              <w:rPr>
                <w:rFonts w:eastAsia="Times New Roman" w:cs="Times New Roman"/>
                <w:sz w:val="20"/>
                <w:szCs w:val="20"/>
                <w:lang w:eastAsia="en-GB"/>
              </w:rPr>
              <w:t>non-statutory</w:t>
            </w:r>
            <w:r>
              <w:rPr>
                <w:rFonts w:eastAsia="Times New Roman" w:cs="Times New Roman"/>
                <w:sz w:val="20"/>
                <w:szCs w:val="20"/>
                <w:lang w:eastAsia="en-GB"/>
              </w:rPr>
              <w:t xml:space="preserve"> route or </w:t>
            </w:r>
            <w:proofErr w:type="gramStart"/>
            <w:r>
              <w:rPr>
                <w:rFonts w:eastAsia="Times New Roman" w:cs="Times New Roman"/>
                <w:sz w:val="20"/>
                <w:szCs w:val="20"/>
                <w:lang w:eastAsia="en-GB"/>
              </w:rPr>
              <w:t>via</w:t>
            </w:r>
            <w:r w:rsidR="00996D39">
              <w:rPr>
                <w:rFonts w:eastAsia="Times New Roman" w:cs="Times New Roman"/>
                <w:sz w:val="20"/>
                <w:szCs w:val="20"/>
                <w:lang w:eastAsia="en-GB"/>
              </w:rPr>
              <w:t xml:space="preserve"> </w:t>
            </w:r>
            <w:r>
              <w:rPr>
                <w:rFonts w:eastAsia="Times New Roman" w:cs="Times New Roman"/>
                <w:sz w:val="20"/>
                <w:szCs w:val="20"/>
                <w:lang w:eastAsia="en-GB"/>
              </w:rPr>
              <w:t xml:space="preserve"> the</w:t>
            </w:r>
            <w:proofErr w:type="gramEnd"/>
            <w:r>
              <w:rPr>
                <w:rFonts w:eastAsia="Times New Roman" w:cs="Times New Roman"/>
                <w:sz w:val="20"/>
                <w:szCs w:val="20"/>
                <w:lang w:eastAsia="en-GB"/>
              </w:rPr>
              <w:t xml:space="preserve"> establishment of an executive joint committee if </w:t>
            </w:r>
            <w:r w:rsidR="00996D39">
              <w:rPr>
                <w:rFonts w:eastAsia="Times New Roman" w:cs="Times New Roman"/>
                <w:sz w:val="20"/>
                <w:szCs w:val="20"/>
                <w:lang w:eastAsia="en-GB"/>
              </w:rPr>
              <w:t>established for a statutory plan</w:t>
            </w:r>
            <w:r>
              <w:rPr>
                <w:rFonts w:eastAsia="Times New Roman" w:cs="Times New Roman"/>
                <w:sz w:val="20"/>
                <w:szCs w:val="20"/>
                <w:lang w:eastAsia="en-GB"/>
              </w:rPr>
              <w:t>.</w:t>
            </w:r>
            <w:r w:rsidR="00996D39">
              <w:rPr>
                <w:rFonts w:eastAsia="Times New Roman" w:cs="Times New Roman"/>
                <w:sz w:val="20"/>
                <w:szCs w:val="20"/>
                <w:lang w:eastAsia="en-GB"/>
              </w:rPr>
              <w:t xml:space="preserve"> If a statutory plan requires approval of individual Local Planning Authorities, timelines will need to be reviewed. </w:t>
            </w:r>
            <w:r>
              <w:rPr>
                <w:rFonts w:eastAsia="Times New Roman" w:cs="Times New Roman"/>
                <w:sz w:val="20"/>
                <w:szCs w:val="20"/>
                <w:lang w:eastAsia="en-GB"/>
              </w:rPr>
              <w:t xml:space="preserve"> An early </w:t>
            </w:r>
            <w:r w:rsidR="00DE1BCC">
              <w:rPr>
                <w:rFonts w:eastAsia="Times New Roman" w:cs="Times New Roman"/>
                <w:sz w:val="20"/>
                <w:szCs w:val="20"/>
                <w:lang w:eastAsia="en-GB"/>
              </w:rPr>
              <w:t>decision</w:t>
            </w:r>
            <w:r>
              <w:rPr>
                <w:rFonts w:eastAsia="Times New Roman" w:cs="Times New Roman"/>
                <w:sz w:val="20"/>
                <w:szCs w:val="20"/>
                <w:lang w:eastAsia="en-GB"/>
              </w:rPr>
              <w:t xml:space="preserve"> on appropriate </w:t>
            </w:r>
            <w:r w:rsidR="00DE1BCC">
              <w:rPr>
                <w:rFonts w:eastAsia="Times New Roman" w:cs="Times New Roman"/>
                <w:sz w:val="20"/>
                <w:szCs w:val="20"/>
                <w:lang w:eastAsia="en-GB"/>
              </w:rPr>
              <w:t>governance</w:t>
            </w:r>
            <w:r>
              <w:rPr>
                <w:rFonts w:eastAsia="Times New Roman" w:cs="Times New Roman"/>
                <w:sz w:val="20"/>
                <w:szCs w:val="20"/>
                <w:lang w:eastAsia="en-GB"/>
              </w:rPr>
              <w:t xml:space="preserve"> arrangements will be </w:t>
            </w:r>
            <w:r w:rsidR="00DE1BCC">
              <w:rPr>
                <w:rFonts w:eastAsia="Times New Roman" w:cs="Times New Roman"/>
                <w:sz w:val="20"/>
                <w:szCs w:val="20"/>
                <w:lang w:eastAsia="en-GB"/>
              </w:rPr>
              <w:t>required</w:t>
            </w:r>
            <w:r>
              <w:rPr>
                <w:rFonts w:eastAsia="Times New Roman" w:cs="Times New Roman"/>
                <w:sz w:val="20"/>
                <w:szCs w:val="20"/>
                <w:lang w:eastAsia="en-GB"/>
              </w:rPr>
              <w:t xml:space="preserve"> of the </w:t>
            </w:r>
            <w:r w:rsidR="00DE1BCC">
              <w:rPr>
                <w:rFonts w:eastAsia="Times New Roman" w:cs="Times New Roman"/>
                <w:sz w:val="20"/>
                <w:szCs w:val="20"/>
                <w:lang w:eastAsia="en-GB"/>
              </w:rPr>
              <w:t>B</w:t>
            </w:r>
            <w:r>
              <w:rPr>
                <w:rFonts w:eastAsia="Times New Roman" w:cs="Times New Roman"/>
                <w:sz w:val="20"/>
                <w:szCs w:val="20"/>
                <w:lang w:eastAsia="en-GB"/>
              </w:rPr>
              <w:t xml:space="preserve">oard and the </w:t>
            </w:r>
            <w:r w:rsidR="00DE1BCC">
              <w:rPr>
                <w:rFonts w:eastAsia="Times New Roman" w:cs="Times New Roman"/>
                <w:sz w:val="20"/>
                <w:szCs w:val="20"/>
                <w:lang w:eastAsia="en-GB"/>
              </w:rPr>
              <w:t>project</w:t>
            </w:r>
            <w:r>
              <w:rPr>
                <w:rFonts w:eastAsia="Times New Roman" w:cs="Times New Roman"/>
                <w:sz w:val="20"/>
                <w:szCs w:val="20"/>
                <w:lang w:eastAsia="en-GB"/>
              </w:rPr>
              <w:t xml:space="preserve"> timeline </w:t>
            </w:r>
            <w:r w:rsidR="00DE1BCC">
              <w:rPr>
                <w:rFonts w:eastAsia="Times New Roman" w:cs="Times New Roman"/>
                <w:sz w:val="20"/>
                <w:szCs w:val="20"/>
                <w:lang w:eastAsia="en-GB"/>
              </w:rPr>
              <w:t>adjusted</w:t>
            </w:r>
            <w:r>
              <w:rPr>
                <w:rFonts w:eastAsia="Times New Roman" w:cs="Times New Roman"/>
                <w:sz w:val="20"/>
                <w:szCs w:val="20"/>
                <w:lang w:eastAsia="en-GB"/>
              </w:rPr>
              <w:t xml:space="preserve"> as </w:t>
            </w:r>
            <w:r w:rsidR="00DE1BCC">
              <w:rPr>
                <w:rFonts w:eastAsia="Times New Roman" w:cs="Times New Roman"/>
                <w:sz w:val="20"/>
                <w:szCs w:val="20"/>
                <w:lang w:eastAsia="en-GB"/>
              </w:rPr>
              <w:t>appropriate</w:t>
            </w:r>
            <w:r>
              <w:rPr>
                <w:rFonts w:eastAsia="Times New Roman" w:cs="Times New Roman"/>
                <w:sz w:val="20"/>
                <w:szCs w:val="20"/>
                <w:lang w:eastAsia="en-GB"/>
              </w:rPr>
              <w:t xml:space="preserve"> </w:t>
            </w:r>
          </w:p>
        </w:tc>
        <w:tc>
          <w:tcPr>
            <w:tcW w:w="1559" w:type="dxa"/>
          </w:tcPr>
          <w:p w:rsidR="00992E04" w:rsidRDefault="00992E04" w:rsidP="00ED57C1">
            <w:pPr>
              <w:spacing w:before="120" w:after="120"/>
              <w:rPr>
                <w:iCs/>
                <w:sz w:val="20"/>
                <w:szCs w:val="20"/>
              </w:rPr>
            </w:pPr>
          </w:p>
          <w:p w:rsidR="00DE1BCC" w:rsidRDefault="00DE1BCC" w:rsidP="00ED57C1">
            <w:pPr>
              <w:spacing w:before="120" w:after="120"/>
              <w:rPr>
                <w:iCs/>
                <w:sz w:val="20"/>
                <w:szCs w:val="20"/>
              </w:rPr>
            </w:pPr>
          </w:p>
          <w:p w:rsidR="00DE1BCC" w:rsidRDefault="00DE1BCC" w:rsidP="00ED57C1">
            <w:pPr>
              <w:spacing w:before="120" w:after="120"/>
              <w:rPr>
                <w:iCs/>
                <w:sz w:val="20"/>
                <w:szCs w:val="20"/>
              </w:rPr>
            </w:pPr>
          </w:p>
          <w:p w:rsidR="001F550F" w:rsidRPr="006C638F" w:rsidRDefault="001F550F" w:rsidP="00ED57C1">
            <w:pPr>
              <w:spacing w:before="120" w:after="120"/>
              <w:rPr>
                <w:iCs/>
                <w:sz w:val="20"/>
                <w:szCs w:val="20"/>
              </w:rPr>
            </w:pPr>
            <w:r w:rsidRPr="001F550F">
              <w:rPr>
                <w:iCs/>
                <w:sz w:val="20"/>
                <w:szCs w:val="20"/>
              </w:rPr>
              <w:t>Growth Board</w:t>
            </w:r>
          </w:p>
        </w:tc>
      </w:tr>
      <w:tr w:rsidR="0043062B" w:rsidRPr="00ED57C1" w:rsidTr="008576AA">
        <w:tc>
          <w:tcPr>
            <w:tcW w:w="3686" w:type="dxa"/>
          </w:tcPr>
          <w:p w:rsidR="0043062B" w:rsidRPr="006062EA" w:rsidRDefault="0043062B" w:rsidP="0043062B">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Not all councils are willing to take part in the plans preparation.</w:t>
            </w:r>
          </w:p>
        </w:tc>
        <w:tc>
          <w:tcPr>
            <w:tcW w:w="3685" w:type="dxa"/>
          </w:tcPr>
          <w:p w:rsidR="0043062B" w:rsidRPr="006062EA" w:rsidRDefault="00992E04" w:rsidP="00995E63">
            <w:pPr>
              <w:widowControl w:val="0"/>
              <w:spacing w:before="120" w:after="120" w:line="240" w:lineRule="atLeast"/>
              <w:rPr>
                <w:rFonts w:eastAsia="Times New Roman" w:cs="Times New Roman"/>
                <w:sz w:val="20"/>
                <w:szCs w:val="20"/>
                <w:lang w:eastAsia="en-GB"/>
              </w:rPr>
            </w:pPr>
            <w:r w:rsidRPr="00992E04">
              <w:rPr>
                <w:rFonts w:eastAsia="Times New Roman" w:cs="Times New Roman"/>
                <w:sz w:val="20"/>
                <w:szCs w:val="20"/>
                <w:lang w:eastAsia="en-GB"/>
              </w:rPr>
              <w:t>The plan is prepared county- wide in terms of infrastructure and strategic growth areas/sites. In areas not taking part in the project relevant information to</w:t>
            </w:r>
            <w:r w:rsidR="000F7182">
              <w:rPr>
                <w:rFonts w:eastAsia="Times New Roman" w:cs="Times New Roman"/>
                <w:sz w:val="20"/>
                <w:szCs w:val="20"/>
                <w:lang w:eastAsia="en-GB"/>
              </w:rPr>
              <w:t xml:space="preserve"> inform the JSP is drawn from local p</w:t>
            </w:r>
            <w:r w:rsidRPr="00992E04">
              <w:rPr>
                <w:rFonts w:eastAsia="Times New Roman" w:cs="Times New Roman"/>
                <w:sz w:val="20"/>
                <w:szCs w:val="20"/>
                <w:lang w:eastAsia="en-GB"/>
              </w:rPr>
              <w:t>lan information</w:t>
            </w:r>
          </w:p>
        </w:tc>
        <w:tc>
          <w:tcPr>
            <w:tcW w:w="1559" w:type="dxa"/>
          </w:tcPr>
          <w:p w:rsidR="0043062B" w:rsidRDefault="0043062B" w:rsidP="00ED57C1">
            <w:pPr>
              <w:spacing w:before="120" w:after="120"/>
              <w:rPr>
                <w:iCs/>
                <w:sz w:val="20"/>
                <w:szCs w:val="20"/>
              </w:rPr>
            </w:pPr>
          </w:p>
          <w:p w:rsidR="0043062B" w:rsidRPr="006C638F" w:rsidRDefault="0043062B" w:rsidP="00ED57C1">
            <w:pPr>
              <w:spacing w:before="120" w:after="120"/>
              <w:rPr>
                <w:iCs/>
                <w:sz w:val="20"/>
                <w:szCs w:val="20"/>
              </w:rPr>
            </w:pPr>
            <w:r>
              <w:rPr>
                <w:iCs/>
                <w:sz w:val="20"/>
                <w:szCs w:val="20"/>
              </w:rPr>
              <w:t xml:space="preserve">Growth Board/Project Board </w:t>
            </w:r>
          </w:p>
        </w:tc>
      </w:tr>
      <w:tr w:rsidR="006C638F" w:rsidRPr="00ED57C1" w:rsidTr="008576AA">
        <w:tc>
          <w:tcPr>
            <w:tcW w:w="3686" w:type="dxa"/>
          </w:tcPr>
          <w:p w:rsidR="006C638F" w:rsidRPr="006062EA" w:rsidRDefault="006C638F" w:rsidP="00995E63">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The spatial plan will di</w:t>
            </w:r>
            <w:r w:rsidR="00995E63">
              <w:rPr>
                <w:rFonts w:eastAsia="Times New Roman" w:cs="Times New Roman"/>
                <w:sz w:val="20"/>
                <w:szCs w:val="20"/>
                <w:lang w:eastAsia="en-GB"/>
              </w:rPr>
              <w:t>minish the primacy of district L</w:t>
            </w:r>
            <w:r w:rsidRPr="006062EA">
              <w:rPr>
                <w:rFonts w:eastAsia="Times New Roman" w:cs="Times New Roman"/>
                <w:sz w:val="20"/>
                <w:szCs w:val="20"/>
                <w:lang w:eastAsia="en-GB"/>
              </w:rPr>
              <w:t xml:space="preserve">ocal </w:t>
            </w:r>
            <w:r w:rsidR="00995E63">
              <w:rPr>
                <w:rFonts w:eastAsia="Times New Roman" w:cs="Times New Roman"/>
                <w:sz w:val="20"/>
                <w:szCs w:val="20"/>
                <w:lang w:eastAsia="en-GB"/>
              </w:rPr>
              <w:t>P</w:t>
            </w:r>
            <w:r w:rsidRPr="006062EA">
              <w:rPr>
                <w:rFonts w:eastAsia="Times New Roman" w:cs="Times New Roman"/>
                <w:sz w:val="20"/>
                <w:szCs w:val="20"/>
                <w:lang w:eastAsia="en-GB"/>
              </w:rPr>
              <w:t xml:space="preserve">lans still in use before their review dates </w:t>
            </w:r>
          </w:p>
        </w:tc>
        <w:tc>
          <w:tcPr>
            <w:tcW w:w="3685" w:type="dxa"/>
          </w:tcPr>
          <w:p w:rsidR="006C638F" w:rsidRPr="006062EA" w:rsidRDefault="00992E04" w:rsidP="00995E63">
            <w:pPr>
              <w:widowControl w:val="0"/>
              <w:spacing w:before="120" w:after="120" w:line="240" w:lineRule="atLeast"/>
              <w:rPr>
                <w:rFonts w:eastAsia="Times New Roman" w:cs="Times New Roman"/>
                <w:sz w:val="20"/>
                <w:szCs w:val="20"/>
                <w:lang w:eastAsia="en-GB"/>
              </w:rPr>
            </w:pPr>
            <w:r w:rsidRPr="00992E04">
              <w:rPr>
                <w:rFonts w:eastAsia="Times New Roman" w:cs="Times New Roman"/>
                <w:sz w:val="20"/>
                <w:szCs w:val="20"/>
                <w:lang w:eastAsia="en-GB"/>
              </w:rPr>
              <w:t>The Joint Spatial Plan will set only set the high level strategic direction and potentially, broad growth areas,  thus  leavin</w:t>
            </w:r>
            <w:r w:rsidR="000F7182">
              <w:rPr>
                <w:rFonts w:eastAsia="Times New Roman" w:cs="Times New Roman"/>
                <w:sz w:val="20"/>
                <w:szCs w:val="20"/>
                <w:lang w:eastAsia="en-GB"/>
              </w:rPr>
              <w:t>g detailed site allocations to local p</w:t>
            </w:r>
            <w:r w:rsidRPr="00992E04">
              <w:rPr>
                <w:rFonts w:eastAsia="Times New Roman" w:cs="Times New Roman"/>
                <w:sz w:val="20"/>
                <w:szCs w:val="20"/>
                <w:lang w:eastAsia="en-GB"/>
              </w:rPr>
              <w:t>lans</w:t>
            </w:r>
          </w:p>
        </w:tc>
        <w:tc>
          <w:tcPr>
            <w:tcW w:w="1559" w:type="dxa"/>
          </w:tcPr>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Partner councils are not content with the preparation of a statutory plan in advance of a government requirement to do so</w:t>
            </w:r>
          </w:p>
        </w:tc>
        <w:tc>
          <w:tcPr>
            <w:tcW w:w="3685" w:type="dxa"/>
          </w:tcPr>
          <w:p w:rsidR="006C638F" w:rsidRDefault="001D486F" w:rsidP="00995E63">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 xml:space="preserve">The JSP </w:t>
            </w:r>
            <w:r w:rsidR="006C638F">
              <w:rPr>
                <w:rFonts w:eastAsia="Times New Roman" w:cs="Times New Roman"/>
                <w:sz w:val="20"/>
                <w:szCs w:val="20"/>
                <w:lang w:eastAsia="en-GB"/>
              </w:rPr>
              <w:t xml:space="preserve">will be evidence based and this will need to be robust and sound notwithstanding the </w:t>
            </w:r>
            <w:r w:rsidR="00995E63">
              <w:rPr>
                <w:rFonts w:eastAsia="Times New Roman" w:cs="Times New Roman"/>
                <w:sz w:val="20"/>
                <w:szCs w:val="20"/>
                <w:lang w:eastAsia="en-GB"/>
              </w:rPr>
              <w:t xml:space="preserve">statutory </w:t>
            </w:r>
            <w:r w:rsidR="006C638F">
              <w:rPr>
                <w:rFonts w:eastAsia="Times New Roman" w:cs="Times New Roman"/>
                <w:sz w:val="20"/>
                <w:szCs w:val="20"/>
                <w:lang w:eastAsia="en-GB"/>
              </w:rPr>
              <w:t>basis of the plan as it will in any event be a key document in statutory local plans</w:t>
            </w:r>
            <w:r w:rsidR="00995E63">
              <w:rPr>
                <w:rFonts w:eastAsia="Times New Roman" w:cs="Times New Roman"/>
                <w:sz w:val="20"/>
                <w:szCs w:val="20"/>
                <w:lang w:eastAsia="en-GB"/>
              </w:rPr>
              <w:t xml:space="preserve"> and therefore subject to examination and challenge. The need therefore will be for the processes and evidence that underpin the JSP to be as if it was a statutory plan.</w:t>
            </w:r>
          </w:p>
        </w:tc>
        <w:tc>
          <w:tcPr>
            <w:tcW w:w="1559" w:type="dxa"/>
          </w:tcPr>
          <w:p w:rsidR="006C638F" w:rsidRDefault="006C638F" w:rsidP="00ED57C1">
            <w:pPr>
              <w:widowControl w:val="0"/>
              <w:spacing w:before="120" w:after="120" w:line="240" w:lineRule="atLeast"/>
              <w:rPr>
                <w:sz w:val="20"/>
                <w:szCs w:val="20"/>
              </w:rPr>
            </w:pPr>
          </w:p>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The partners will not be able to offer the resources to complete the project from within their officer base</w:t>
            </w:r>
          </w:p>
        </w:tc>
        <w:tc>
          <w:tcPr>
            <w:tcW w:w="3685" w:type="dxa"/>
          </w:tcPr>
          <w:p w:rsidR="006C638F" w:rsidRPr="006062EA" w:rsidRDefault="006C638F" w:rsidP="00495B68">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 xml:space="preserve">Partners offer </w:t>
            </w:r>
            <w:r w:rsidR="00A87F48">
              <w:rPr>
                <w:rFonts w:eastAsia="Times New Roman" w:cs="Times New Roman"/>
                <w:sz w:val="20"/>
                <w:szCs w:val="20"/>
                <w:lang w:eastAsia="en-GB"/>
              </w:rPr>
              <w:t xml:space="preserve">to </w:t>
            </w:r>
            <w:r w:rsidRPr="006062EA">
              <w:rPr>
                <w:rFonts w:eastAsia="Times New Roman" w:cs="Times New Roman"/>
                <w:sz w:val="20"/>
                <w:szCs w:val="20"/>
                <w:lang w:eastAsia="en-GB"/>
              </w:rPr>
              <w:t>second officers dedicated to the project</w:t>
            </w:r>
            <w:r w:rsidR="001D486F">
              <w:rPr>
                <w:rFonts w:eastAsia="Times New Roman" w:cs="Times New Roman"/>
                <w:sz w:val="20"/>
                <w:szCs w:val="20"/>
                <w:lang w:eastAsia="en-GB"/>
              </w:rPr>
              <w:t xml:space="preserve"> where possible, </w:t>
            </w:r>
            <w:r w:rsidR="00A87F48">
              <w:rPr>
                <w:rFonts w:eastAsia="Times New Roman" w:cs="Times New Roman"/>
                <w:sz w:val="20"/>
                <w:szCs w:val="20"/>
                <w:lang w:eastAsia="en-GB"/>
              </w:rPr>
              <w:t xml:space="preserve">contractors can be used </w:t>
            </w:r>
            <w:r w:rsidR="001D486F">
              <w:rPr>
                <w:rFonts w:eastAsia="Times New Roman" w:cs="Times New Roman"/>
                <w:sz w:val="20"/>
                <w:szCs w:val="20"/>
                <w:lang w:eastAsia="en-GB"/>
              </w:rPr>
              <w:t xml:space="preserve">in other circumstances. The </w:t>
            </w:r>
            <w:r w:rsidR="00DE1BCC">
              <w:rPr>
                <w:rFonts w:eastAsia="Times New Roman" w:cs="Times New Roman"/>
                <w:sz w:val="20"/>
                <w:szCs w:val="20"/>
                <w:lang w:eastAsia="en-GB"/>
              </w:rPr>
              <w:t>three-year</w:t>
            </w:r>
            <w:r w:rsidR="001D486F">
              <w:rPr>
                <w:rFonts w:eastAsia="Times New Roman" w:cs="Times New Roman"/>
                <w:sz w:val="20"/>
                <w:szCs w:val="20"/>
                <w:lang w:eastAsia="en-GB"/>
              </w:rPr>
              <w:t xml:space="preserve"> period could also enable graduate planning apprenticeships to be set up which would be beneficial to the development of much needed planning skills across Oxfordshire</w:t>
            </w:r>
            <w:r w:rsidR="00495B68">
              <w:rPr>
                <w:rFonts w:eastAsia="Times New Roman" w:cs="Times New Roman"/>
                <w:sz w:val="20"/>
                <w:szCs w:val="20"/>
                <w:lang w:eastAsia="en-GB"/>
              </w:rPr>
              <w:t xml:space="preserve">. </w:t>
            </w:r>
            <w:r w:rsidRPr="006062EA">
              <w:rPr>
                <w:rFonts w:eastAsia="Times New Roman" w:cs="Times New Roman"/>
                <w:sz w:val="20"/>
                <w:szCs w:val="20"/>
                <w:lang w:eastAsia="en-GB"/>
              </w:rPr>
              <w:t xml:space="preserve">Technical project lead appointed </w:t>
            </w:r>
            <w:r w:rsidR="001D486F">
              <w:rPr>
                <w:rFonts w:eastAsia="Times New Roman" w:cs="Times New Roman"/>
                <w:sz w:val="20"/>
                <w:szCs w:val="20"/>
                <w:lang w:eastAsia="en-GB"/>
              </w:rPr>
              <w:t>o</w:t>
            </w:r>
            <w:r w:rsidRPr="006062EA">
              <w:rPr>
                <w:rFonts w:eastAsia="Times New Roman" w:cs="Times New Roman"/>
                <w:sz w:val="20"/>
                <w:szCs w:val="20"/>
                <w:lang w:eastAsia="en-GB"/>
              </w:rPr>
              <w:t xml:space="preserve">n a </w:t>
            </w:r>
            <w:r w:rsidR="001D486F">
              <w:rPr>
                <w:rFonts w:eastAsia="Times New Roman" w:cs="Times New Roman"/>
                <w:sz w:val="20"/>
                <w:szCs w:val="20"/>
                <w:lang w:eastAsia="en-GB"/>
              </w:rPr>
              <w:t xml:space="preserve">secondment or </w:t>
            </w:r>
            <w:r w:rsidRPr="006062EA">
              <w:rPr>
                <w:rFonts w:eastAsia="Times New Roman" w:cs="Times New Roman"/>
                <w:sz w:val="20"/>
                <w:szCs w:val="20"/>
                <w:lang w:eastAsia="en-GB"/>
              </w:rPr>
              <w:t>fixed term basis</w:t>
            </w:r>
          </w:p>
        </w:tc>
        <w:tc>
          <w:tcPr>
            <w:tcW w:w="1559" w:type="dxa"/>
          </w:tcPr>
          <w:p w:rsidR="006C638F" w:rsidRDefault="006C638F" w:rsidP="00ED57C1">
            <w:pPr>
              <w:widowControl w:val="0"/>
              <w:spacing w:before="120" w:after="120" w:line="240" w:lineRule="atLeast"/>
              <w:rPr>
                <w:sz w:val="20"/>
                <w:szCs w:val="20"/>
              </w:rPr>
            </w:pPr>
          </w:p>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The Programme is not able to secure sufficient consultancy expertise to carry out the projects</w:t>
            </w:r>
          </w:p>
        </w:tc>
        <w:tc>
          <w:tcPr>
            <w:tcW w:w="3685"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 xml:space="preserve">Plan for those elements of the project that could be tendered out and commission early to have an alternative plan if it fails </w:t>
            </w:r>
          </w:p>
        </w:tc>
        <w:tc>
          <w:tcPr>
            <w:tcW w:w="1559" w:type="dxa"/>
          </w:tcPr>
          <w:p w:rsidR="006C638F" w:rsidRDefault="006C638F" w:rsidP="00ED57C1">
            <w:pPr>
              <w:widowControl w:val="0"/>
              <w:spacing w:before="120" w:after="120" w:line="240" w:lineRule="atLeast"/>
              <w:rPr>
                <w:sz w:val="20"/>
                <w:szCs w:val="20"/>
              </w:rPr>
            </w:pPr>
          </w:p>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Partners are not willing to commit to the project as it unfolds</w:t>
            </w:r>
            <w:r w:rsidR="005D79B7">
              <w:rPr>
                <w:rFonts w:eastAsia="Times New Roman" w:cs="Times New Roman"/>
                <w:sz w:val="20"/>
                <w:szCs w:val="20"/>
                <w:lang w:eastAsia="en-GB"/>
              </w:rPr>
              <w:t xml:space="preserve"> </w:t>
            </w:r>
          </w:p>
        </w:tc>
        <w:tc>
          <w:tcPr>
            <w:tcW w:w="3685" w:type="dxa"/>
          </w:tcPr>
          <w:p w:rsidR="006C638F" w:rsidRPr="006062EA" w:rsidRDefault="006C638F" w:rsidP="00995E63">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 xml:space="preserve">Continued dialogue and commitment to </w:t>
            </w:r>
            <w:r w:rsidR="00995E63" w:rsidRPr="006062EA">
              <w:rPr>
                <w:rFonts w:eastAsia="Times New Roman" w:cs="Times New Roman"/>
                <w:sz w:val="20"/>
                <w:szCs w:val="20"/>
                <w:lang w:eastAsia="en-GB"/>
              </w:rPr>
              <w:t>discuss implications</w:t>
            </w:r>
            <w:r w:rsidRPr="006062EA">
              <w:rPr>
                <w:rFonts w:eastAsia="Times New Roman" w:cs="Times New Roman"/>
                <w:sz w:val="20"/>
                <w:szCs w:val="20"/>
                <w:lang w:eastAsia="en-GB"/>
              </w:rPr>
              <w:t xml:space="preserve"> openly at EOG</w:t>
            </w:r>
            <w:r w:rsidR="001D486F">
              <w:rPr>
                <w:rFonts w:eastAsia="Times New Roman" w:cs="Times New Roman"/>
                <w:sz w:val="20"/>
                <w:szCs w:val="20"/>
                <w:lang w:eastAsia="en-GB"/>
              </w:rPr>
              <w:t xml:space="preserve"> at the outset. Partners need to commit funds to do th</w:t>
            </w:r>
            <w:r w:rsidR="00995E63">
              <w:rPr>
                <w:rFonts w:eastAsia="Times New Roman" w:cs="Times New Roman"/>
                <w:sz w:val="20"/>
                <w:szCs w:val="20"/>
                <w:lang w:eastAsia="en-GB"/>
              </w:rPr>
              <w:t xml:space="preserve">e project in full recognising that </w:t>
            </w:r>
            <w:r w:rsidR="001D486F">
              <w:rPr>
                <w:rFonts w:eastAsia="Times New Roman" w:cs="Times New Roman"/>
                <w:sz w:val="20"/>
                <w:szCs w:val="20"/>
                <w:lang w:eastAsia="en-GB"/>
              </w:rPr>
              <w:t>bids to DCLG and any other funding sources will also be pursued.</w:t>
            </w:r>
          </w:p>
        </w:tc>
        <w:tc>
          <w:tcPr>
            <w:tcW w:w="1559" w:type="dxa"/>
          </w:tcPr>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Partners are not willing to agree to the testing of all scenarios within the plan and therefore not willing to fully engage with the project</w:t>
            </w:r>
          </w:p>
        </w:tc>
        <w:tc>
          <w:tcPr>
            <w:tcW w:w="3685" w:type="dxa"/>
          </w:tcPr>
          <w:p w:rsidR="006C638F" w:rsidRPr="006062EA" w:rsidRDefault="00CC6F91" w:rsidP="00CC6F91">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The SoCG will set out how the partners will consider and resolve areas of disagreement and c</w:t>
            </w:r>
            <w:r w:rsidR="006C638F" w:rsidRPr="006062EA">
              <w:rPr>
                <w:rFonts w:eastAsia="Times New Roman" w:cs="Times New Roman"/>
                <w:sz w:val="20"/>
                <w:szCs w:val="20"/>
                <w:lang w:eastAsia="en-GB"/>
              </w:rPr>
              <w:t>ontinued dialogue and commitment to discuss  implications openly at EOG</w:t>
            </w:r>
            <w:r w:rsidR="003950DF">
              <w:rPr>
                <w:rFonts w:eastAsia="Times New Roman" w:cs="Times New Roman"/>
                <w:sz w:val="20"/>
                <w:szCs w:val="20"/>
                <w:lang w:eastAsia="en-GB"/>
              </w:rPr>
              <w:t xml:space="preserve">, </w:t>
            </w:r>
          </w:p>
        </w:tc>
        <w:tc>
          <w:tcPr>
            <w:tcW w:w="1559" w:type="dxa"/>
          </w:tcPr>
          <w:p w:rsidR="006C638F" w:rsidRDefault="006C638F" w:rsidP="00ED57C1">
            <w:pPr>
              <w:widowControl w:val="0"/>
              <w:spacing w:before="120" w:after="120" w:line="240" w:lineRule="atLeast"/>
              <w:rPr>
                <w:sz w:val="20"/>
                <w:szCs w:val="20"/>
              </w:rPr>
            </w:pPr>
          </w:p>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Partners are not willing to share confidential information</w:t>
            </w:r>
          </w:p>
        </w:tc>
        <w:tc>
          <w:tcPr>
            <w:tcW w:w="3685"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Confidentiality agreement signed as part of the project inception</w:t>
            </w:r>
          </w:p>
        </w:tc>
        <w:tc>
          <w:tcPr>
            <w:tcW w:w="1559" w:type="dxa"/>
          </w:tcPr>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Partners are unable to offer a consistent message to the public and media over the progress of the plan</w:t>
            </w:r>
          </w:p>
        </w:tc>
        <w:tc>
          <w:tcPr>
            <w:tcW w:w="3685" w:type="dxa"/>
          </w:tcPr>
          <w:p w:rsidR="006C638F" w:rsidRPr="006062EA" w:rsidRDefault="002314CA" w:rsidP="002314CA">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Communication</w:t>
            </w:r>
            <w:r w:rsidR="006C638F" w:rsidRPr="006062EA">
              <w:rPr>
                <w:rFonts w:eastAsia="Times New Roman" w:cs="Times New Roman"/>
                <w:sz w:val="20"/>
                <w:szCs w:val="20"/>
                <w:lang w:eastAsia="en-GB"/>
              </w:rPr>
              <w:t xml:space="preserve"> protocol drawn up and agreed as part of the project inception</w:t>
            </w:r>
          </w:p>
        </w:tc>
        <w:tc>
          <w:tcPr>
            <w:tcW w:w="1559" w:type="dxa"/>
          </w:tcPr>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r w:rsidR="006C638F" w:rsidRPr="00ED57C1" w:rsidTr="008576AA">
        <w:tc>
          <w:tcPr>
            <w:tcW w:w="3686" w:type="dxa"/>
          </w:tcPr>
          <w:p w:rsidR="006C638F" w:rsidRPr="006062EA" w:rsidRDefault="006C638F" w:rsidP="00ED57C1">
            <w:pPr>
              <w:widowControl w:val="0"/>
              <w:spacing w:before="120" w:after="120" w:line="240" w:lineRule="atLeast"/>
              <w:rPr>
                <w:rFonts w:eastAsia="Times New Roman" w:cs="Times New Roman"/>
                <w:sz w:val="20"/>
                <w:szCs w:val="20"/>
                <w:lang w:eastAsia="en-GB"/>
              </w:rPr>
            </w:pPr>
            <w:r w:rsidRPr="006062EA">
              <w:rPr>
                <w:rFonts w:eastAsia="Times New Roman" w:cs="Times New Roman"/>
                <w:sz w:val="20"/>
                <w:szCs w:val="20"/>
                <w:lang w:eastAsia="en-GB"/>
              </w:rPr>
              <w:t>Spatial Plan is challenged and fails at Examination</w:t>
            </w:r>
          </w:p>
        </w:tc>
        <w:tc>
          <w:tcPr>
            <w:tcW w:w="3685" w:type="dxa"/>
          </w:tcPr>
          <w:p w:rsidR="006C638F" w:rsidRPr="006062EA" w:rsidRDefault="003950DF" w:rsidP="00ED57C1">
            <w:pPr>
              <w:widowControl w:val="0"/>
              <w:spacing w:before="120" w:after="120" w:line="240" w:lineRule="atLeast"/>
              <w:rPr>
                <w:rFonts w:eastAsia="Times New Roman" w:cs="Times New Roman"/>
                <w:sz w:val="20"/>
                <w:szCs w:val="20"/>
                <w:lang w:eastAsia="en-GB"/>
              </w:rPr>
            </w:pPr>
            <w:r>
              <w:rPr>
                <w:rFonts w:eastAsia="Times New Roman" w:cs="Times New Roman"/>
                <w:sz w:val="20"/>
                <w:szCs w:val="20"/>
                <w:lang w:eastAsia="en-GB"/>
              </w:rPr>
              <w:t>Adopt a best practice approach and e</w:t>
            </w:r>
            <w:r w:rsidR="006C638F" w:rsidRPr="006062EA">
              <w:rPr>
                <w:rFonts w:eastAsia="Times New Roman" w:cs="Times New Roman"/>
                <w:sz w:val="20"/>
                <w:szCs w:val="20"/>
                <w:lang w:eastAsia="en-GB"/>
              </w:rPr>
              <w:t>ngage PAS</w:t>
            </w:r>
            <w:r w:rsidR="002314CA">
              <w:rPr>
                <w:rFonts w:eastAsia="Times New Roman" w:cs="Times New Roman"/>
                <w:sz w:val="20"/>
                <w:szCs w:val="20"/>
                <w:lang w:eastAsia="en-GB"/>
              </w:rPr>
              <w:t xml:space="preserve">/specialist consultant </w:t>
            </w:r>
            <w:r w:rsidR="006C638F" w:rsidRPr="006062EA">
              <w:rPr>
                <w:rFonts w:eastAsia="Times New Roman" w:cs="Times New Roman"/>
                <w:sz w:val="20"/>
                <w:szCs w:val="20"/>
                <w:lang w:eastAsia="en-GB"/>
              </w:rPr>
              <w:t xml:space="preserve"> to offer professional advice</w:t>
            </w:r>
            <w:r w:rsidR="002314CA">
              <w:rPr>
                <w:rFonts w:eastAsia="Times New Roman" w:cs="Times New Roman"/>
                <w:sz w:val="20"/>
                <w:szCs w:val="20"/>
                <w:lang w:eastAsia="en-GB"/>
              </w:rPr>
              <w:t xml:space="preserve"> and act as critical friend at key points of the project</w:t>
            </w:r>
          </w:p>
          <w:p w:rsidR="006C638F" w:rsidRPr="006062EA" w:rsidRDefault="006C638F" w:rsidP="00ED57C1">
            <w:pPr>
              <w:widowControl w:val="0"/>
              <w:spacing w:before="120" w:after="120" w:line="240" w:lineRule="atLeast"/>
              <w:rPr>
                <w:rFonts w:eastAsia="Times New Roman" w:cs="Times New Roman"/>
                <w:sz w:val="20"/>
                <w:szCs w:val="20"/>
                <w:lang w:eastAsia="en-GB"/>
              </w:rPr>
            </w:pPr>
          </w:p>
        </w:tc>
        <w:tc>
          <w:tcPr>
            <w:tcW w:w="1559" w:type="dxa"/>
          </w:tcPr>
          <w:p w:rsidR="006C638F" w:rsidRPr="006C638F" w:rsidRDefault="006C638F" w:rsidP="00ED57C1">
            <w:pPr>
              <w:widowControl w:val="0"/>
              <w:spacing w:before="120" w:after="120" w:line="240" w:lineRule="atLeast"/>
              <w:rPr>
                <w:rFonts w:eastAsia="Times New Roman" w:cs="Times New Roman"/>
                <w:sz w:val="20"/>
                <w:szCs w:val="20"/>
                <w:lang w:eastAsia="en-GB"/>
              </w:rPr>
            </w:pPr>
            <w:r w:rsidRPr="006C638F">
              <w:rPr>
                <w:sz w:val="20"/>
                <w:szCs w:val="20"/>
              </w:rPr>
              <w:t xml:space="preserve">Project Board </w:t>
            </w:r>
          </w:p>
        </w:tc>
      </w:tr>
    </w:tbl>
    <w:p w:rsidR="00EB2207" w:rsidRDefault="00EB2207">
      <w:pPr>
        <w:rPr>
          <w:rFonts w:eastAsiaTheme="majorEastAsia"/>
          <w:bCs/>
          <w:iCs/>
          <w:sz w:val="22"/>
          <w:szCs w:val="22"/>
        </w:rPr>
      </w:pPr>
    </w:p>
    <w:p w:rsidR="00EB2207" w:rsidRDefault="00EB2207">
      <w:pPr>
        <w:rPr>
          <w:rFonts w:eastAsiaTheme="majorEastAsia"/>
          <w:bCs/>
          <w:iCs/>
          <w:sz w:val="22"/>
          <w:szCs w:val="22"/>
        </w:rPr>
      </w:pPr>
      <w:r>
        <w:rPr>
          <w:rFonts w:eastAsiaTheme="majorEastAsia"/>
          <w:bCs/>
          <w:iCs/>
          <w:sz w:val="22"/>
          <w:szCs w:val="22"/>
        </w:rPr>
        <w:br w:type="page"/>
      </w:r>
    </w:p>
    <w:p w:rsidR="00481DF7" w:rsidRDefault="00481DF7">
      <w:pPr>
        <w:rPr>
          <w:rFonts w:eastAsiaTheme="majorEastAsia"/>
          <w:bCs/>
          <w:iCs/>
          <w:sz w:val="22"/>
          <w:szCs w:val="22"/>
        </w:rPr>
        <w:sectPr w:rsidR="00481DF7" w:rsidSect="0008583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pPr>
    </w:p>
    <w:p w:rsidR="00D17E54" w:rsidRDefault="00D17E54"/>
    <w:p w:rsidR="00203FA8" w:rsidRDefault="00203FA8">
      <w:pPr>
        <w:rPr>
          <w:rFonts w:eastAsiaTheme="majorEastAsia"/>
          <w:bCs/>
          <w:iCs/>
          <w:sz w:val="22"/>
          <w:szCs w:val="22"/>
        </w:rPr>
      </w:pPr>
    </w:p>
    <w:p w:rsidR="00203FA8" w:rsidRDefault="00203FA8">
      <w:pPr>
        <w:rPr>
          <w:rFonts w:eastAsiaTheme="majorEastAsia"/>
          <w:bCs/>
          <w:iCs/>
          <w:sz w:val="22"/>
          <w:szCs w:val="22"/>
        </w:rPr>
      </w:pPr>
      <w:r w:rsidRPr="00203FA8">
        <w:rPr>
          <w:noProof/>
          <w:lang w:eastAsia="en-GB"/>
        </w:rPr>
        <w:drawing>
          <wp:inline distT="0" distB="0" distL="0" distR="0" wp14:anchorId="76AAEBC1" wp14:editId="16233404">
            <wp:extent cx="9626600" cy="525537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6600" cy="5255374"/>
                    </a:xfrm>
                    <a:prstGeom prst="rect">
                      <a:avLst/>
                    </a:prstGeom>
                    <a:noFill/>
                    <a:ln>
                      <a:noFill/>
                    </a:ln>
                  </pic:spPr>
                </pic:pic>
              </a:graphicData>
            </a:graphic>
          </wp:inline>
        </w:drawing>
      </w:r>
    </w:p>
    <w:sectPr w:rsidR="00203FA8" w:rsidSect="008D08FC">
      <w:pgSz w:w="16838" w:h="11906" w:orient="landscape"/>
      <w:pgMar w:top="426" w:right="1440" w:bottom="709" w:left="23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D0851" w15:done="0"/>
  <w15:commentEx w15:paraId="19F4DADA" w15:done="0"/>
  <w15:commentEx w15:paraId="617CA559" w15:done="0"/>
  <w15:commentEx w15:paraId="05E04477" w15:done="0"/>
  <w15:commentEx w15:paraId="07AF49BF" w15:done="0"/>
  <w15:commentEx w15:paraId="6105852E" w15:done="0"/>
  <w15:commentEx w15:paraId="4CB6B985" w15:done="0"/>
  <w15:commentEx w15:paraId="5ED61A90" w15:done="0"/>
  <w15:commentEx w15:paraId="09350053" w15:done="0"/>
  <w15:commentEx w15:paraId="60E82D2C" w15:done="0"/>
  <w15:commentEx w15:paraId="620CBF75" w15:done="0"/>
  <w15:commentEx w15:paraId="676F69FF" w15:done="0"/>
  <w15:commentEx w15:paraId="72D55304" w15:done="0"/>
  <w15:commentEx w15:paraId="6FD10E31" w15:done="0"/>
  <w15:commentEx w15:paraId="76A91447" w15:done="0"/>
  <w15:commentEx w15:paraId="67396F7E" w15:done="0"/>
  <w15:commentEx w15:paraId="40E5DFEA" w15:done="0"/>
  <w15:commentEx w15:paraId="1A757D88" w15:done="0"/>
  <w15:commentEx w15:paraId="109FC017" w15:done="0"/>
  <w15:commentEx w15:paraId="2147F7F2" w15:done="0"/>
  <w15:commentEx w15:paraId="36D55493" w15:done="0"/>
  <w15:commentEx w15:paraId="31F82B40" w15:done="0"/>
  <w15:commentEx w15:paraId="2B4E0AC3" w15:done="0"/>
  <w15:commentEx w15:paraId="5320DBF9" w15:paraIdParent="2B4E0AC3" w15:done="0"/>
  <w15:commentEx w15:paraId="5D6FE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AC" w:rsidRDefault="00B85AAC" w:rsidP="00ED57C1">
      <w:r>
        <w:separator/>
      </w:r>
    </w:p>
  </w:endnote>
  <w:endnote w:type="continuationSeparator" w:id="0">
    <w:p w:rsidR="00B85AAC" w:rsidRDefault="00B85AAC" w:rsidP="00ED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AC" w:rsidRDefault="00B85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193445"/>
      <w:docPartObj>
        <w:docPartGallery w:val="Page Numbers (Bottom of Page)"/>
        <w:docPartUnique/>
      </w:docPartObj>
    </w:sdtPr>
    <w:sdtEndPr>
      <w:rPr>
        <w:noProof/>
      </w:rPr>
    </w:sdtEndPr>
    <w:sdtContent>
      <w:p w:rsidR="00B85AAC" w:rsidRDefault="00B85AAC">
        <w:pPr>
          <w:pStyle w:val="Footer"/>
          <w:jc w:val="right"/>
        </w:pPr>
        <w:r>
          <w:fldChar w:fldCharType="begin"/>
        </w:r>
        <w:r>
          <w:instrText xml:space="preserve"> PAGE   \* MERGEFORMAT </w:instrText>
        </w:r>
        <w:r>
          <w:fldChar w:fldCharType="separate"/>
        </w:r>
        <w:r w:rsidR="00085830">
          <w:rPr>
            <w:noProof/>
          </w:rPr>
          <w:t>13</w:t>
        </w:r>
        <w:r>
          <w:rPr>
            <w:noProof/>
          </w:rPr>
          <w:fldChar w:fldCharType="end"/>
        </w:r>
      </w:p>
    </w:sdtContent>
  </w:sdt>
  <w:p w:rsidR="00B85AAC" w:rsidRDefault="00B85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AC" w:rsidRDefault="00B85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AC" w:rsidRDefault="00B85AAC" w:rsidP="00ED57C1">
      <w:r>
        <w:separator/>
      </w:r>
    </w:p>
  </w:footnote>
  <w:footnote w:type="continuationSeparator" w:id="0">
    <w:p w:rsidR="00B85AAC" w:rsidRDefault="00B85AAC" w:rsidP="00ED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AC" w:rsidRDefault="00B85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AC" w:rsidRDefault="00B85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AC" w:rsidRDefault="00B85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72E"/>
    <w:multiLevelType w:val="hybridMultilevel"/>
    <w:tmpl w:val="79C0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1151F"/>
    <w:multiLevelType w:val="hybridMultilevel"/>
    <w:tmpl w:val="F7E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B0804"/>
    <w:multiLevelType w:val="hybridMultilevel"/>
    <w:tmpl w:val="4BC6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A4238D"/>
    <w:multiLevelType w:val="hybridMultilevel"/>
    <w:tmpl w:val="18C83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E421B"/>
    <w:multiLevelType w:val="hybridMultilevel"/>
    <w:tmpl w:val="8AF4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0C4F0B"/>
    <w:multiLevelType w:val="hybridMultilevel"/>
    <w:tmpl w:val="3DD6A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B76830"/>
    <w:multiLevelType w:val="hybridMultilevel"/>
    <w:tmpl w:val="68E4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102841"/>
    <w:multiLevelType w:val="hybridMultilevel"/>
    <w:tmpl w:val="CD1660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A6B0D"/>
    <w:multiLevelType w:val="hybridMultilevel"/>
    <w:tmpl w:val="DA5482B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A41F45"/>
    <w:multiLevelType w:val="hybridMultilevel"/>
    <w:tmpl w:val="AF0836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7D633C1"/>
    <w:multiLevelType w:val="hybridMultilevel"/>
    <w:tmpl w:val="8C727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7354AF"/>
    <w:multiLevelType w:val="hybridMultilevel"/>
    <w:tmpl w:val="E3BAF32A"/>
    <w:lvl w:ilvl="0" w:tplc="08090017">
      <w:start w:val="1"/>
      <w:numFmt w:val="lowerLetter"/>
      <w:lvlText w:val="%1)"/>
      <w:lvlJc w:val="left"/>
      <w:pPr>
        <w:ind w:left="720" w:hanging="360"/>
      </w:pPr>
    </w:lvl>
    <w:lvl w:ilvl="1" w:tplc="08090017">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B637CF"/>
    <w:multiLevelType w:val="hybridMultilevel"/>
    <w:tmpl w:val="9E2E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4225A7"/>
    <w:multiLevelType w:val="hybridMultilevel"/>
    <w:tmpl w:val="4DBA5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1881849"/>
    <w:multiLevelType w:val="hybridMultilevel"/>
    <w:tmpl w:val="D9845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903BC6"/>
    <w:multiLevelType w:val="hybridMultilevel"/>
    <w:tmpl w:val="2F2A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5B0AFB"/>
    <w:multiLevelType w:val="hybridMultilevel"/>
    <w:tmpl w:val="C5F6FA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74B294C"/>
    <w:multiLevelType w:val="hybridMultilevel"/>
    <w:tmpl w:val="14F09C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86E4F51"/>
    <w:multiLevelType w:val="hybridMultilevel"/>
    <w:tmpl w:val="427A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B273235"/>
    <w:multiLevelType w:val="hybridMultilevel"/>
    <w:tmpl w:val="0BECBEDA"/>
    <w:lvl w:ilvl="0" w:tplc="15C8FA32">
      <w:start w:val="1"/>
      <w:numFmt w:val="decimal"/>
      <w:lvlText w:val="%1."/>
      <w:lvlJc w:val="left"/>
      <w:pPr>
        <w:ind w:left="6314" w:hanging="360"/>
      </w:pPr>
      <w:rPr>
        <w:rFonts w:hint="default"/>
        <w:b w:val="0"/>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2C252FE0"/>
    <w:multiLevelType w:val="hybridMultilevel"/>
    <w:tmpl w:val="A132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C85212F"/>
    <w:multiLevelType w:val="hybridMultilevel"/>
    <w:tmpl w:val="72664B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FBE54AD"/>
    <w:multiLevelType w:val="hybridMultilevel"/>
    <w:tmpl w:val="60B2E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0BD11FD"/>
    <w:multiLevelType w:val="hybridMultilevel"/>
    <w:tmpl w:val="B816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FF4AFF"/>
    <w:multiLevelType w:val="hybridMultilevel"/>
    <w:tmpl w:val="AA04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605100"/>
    <w:multiLevelType w:val="hybridMultilevel"/>
    <w:tmpl w:val="6C3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6F5191"/>
    <w:multiLevelType w:val="hybridMultilevel"/>
    <w:tmpl w:val="6B32F9D2"/>
    <w:lvl w:ilvl="0" w:tplc="421A30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34BF492D"/>
    <w:multiLevelType w:val="hybridMultilevel"/>
    <w:tmpl w:val="0E7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E26FA1"/>
    <w:multiLevelType w:val="hybridMultilevel"/>
    <w:tmpl w:val="8D32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411DDE"/>
    <w:multiLevelType w:val="hybridMultilevel"/>
    <w:tmpl w:val="36DCE1CA"/>
    <w:lvl w:ilvl="0" w:tplc="262E10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B85246"/>
    <w:multiLevelType w:val="hybridMultilevel"/>
    <w:tmpl w:val="2E8623D4"/>
    <w:lvl w:ilvl="0" w:tplc="C1A21C46">
      <w:start w:val="1"/>
      <w:numFmt w:val="decimal"/>
      <w:lvlText w:val="%1)"/>
      <w:lvlJc w:val="left"/>
      <w:pPr>
        <w:ind w:left="720" w:hanging="360"/>
      </w:pPr>
      <w:rPr>
        <w:i w:val="0"/>
      </w:rPr>
    </w:lvl>
    <w:lvl w:ilvl="1" w:tplc="658C06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F11B8B"/>
    <w:multiLevelType w:val="hybridMultilevel"/>
    <w:tmpl w:val="F692E668"/>
    <w:lvl w:ilvl="0" w:tplc="B3E633C0">
      <w:start w:val="1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C54A79"/>
    <w:multiLevelType w:val="hybridMultilevel"/>
    <w:tmpl w:val="72A6C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12974A9"/>
    <w:multiLevelType w:val="hybridMultilevel"/>
    <w:tmpl w:val="7E0AA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B5C5CD0"/>
    <w:multiLevelType w:val="hybridMultilevel"/>
    <w:tmpl w:val="CF5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4D5A84"/>
    <w:multiLevelType w:val="hybridMultilevel"/>
    <w:tmpl w:val="7334111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51E92D03"/>
    <w:multiLevelType w:val="hybridMultilevel"/>
    <w:tmpl w:val="E1CAA066"/>
    <w:lvl w:ilvl="0" w:tplc="D21C2596">
      <w:start w:val="5"/>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4D73E9"/>
    <w:multiLevelType w:val="hybridMultilevel"/>
    <w:tmpl w:val="25C427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C503E17"/>
    <w:multiLevelType w:val="hybridMultilevel"/>
    <w:tmpl w:val="52B8B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0125A56"/>
    <w:multiLevelType w:val="hybridMultilevel"/>
    <w:tmpl w:val="E08E5992"/>
    <w:lvl w:ilvl="0" w:tplc="D21C2596">
      <w:start w:val="5"/>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30728D"/>
    <w:multiLevelType w:val="hybridMultilevel"/>
    <w:tmpl w:val="A13AA660"/>
    <w:lvl w:ilvl="0" w:tplc="B3E633C0">
      <w:start w:val="1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D37A3D"/>
    <w:multiLevelType w:val="hybridMultilevel"/>
    <w:tmpl w:val="FF447152"/>
    <w:lvl w:ilvl="0" w:tplc="0CF8C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82112C7"/>
    <w:multiLevelType w:val="hybridMultilevel"/>
    <w:tmpl w:val="237CA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8A12A55"/>
    <w:multiLevelType w:val="hybridMultilevel"/>
    <w:tmpl w:val="6F4E8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F64FE4"/>
    <w:multiLevelType w:val="hybridMultilevel"/>
    <w:tmpl w:val="621C4E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nsid w:val="6EBC6BAD"/>
    <w:multiLevelType w:val="hybridMultilevel"/>
    <w:tmpl w:val="27EC0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1952A4F"/>
    <w:multiLevelType w:val="hybridMultilevel"/>
    <w:tmpl w:val="8C9E0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6BD7DEA"/>
    <w:multiLevelType w:val="hybridMultilevel"/>
    <w:tmpl w:val="76E483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037BE1"/>
    <w:multiLevelType w:val="hybridMultilevel"/>
    <w:tmpl w:val="795418C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nsid w:val="783B361C"/>
    <w:multiLevelType w:val="hybridMultilevel"/>
    <w:tmpl w:val="0B32B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9CB40BF"/>
    <w:multiLevelType w:val="hybridMultilevel"/>
    <w:tmpl w:val="4F64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E35EF0"/>
    <w:multiLevelType w:val="hybridMultilevel"/>
    <w:tmpl w:val="BF44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C7408A"/>
    <w:multiLevelType w:val="hybridMultilevel"/>
    <w:tmpl w:val="594C2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37"/>
  </w:num>
  <w:num w:numId="5">
    <w:abstractNumId w:val="29"/>
  </w:num>
  <w:num w:numId="6">
    <w:abstractNumId w:val="24"/>
  </w:num>
  <w:num w:numId="7">
    <w:abstractNumId w:val="25"/>
  </w:num>
  <w:num w:numId="8">
    <w:abstractNumId w:val="43"/>
  </w:num>
  <w:num w:numId="9">
    <w:abstractNumId w:val="23"/>
  </w:num>
  <w:num w:numId="10">
    <w:abstractNumId w:val="0"/>
  </w:num>
  <w:num w:numId="11">
    <w:abstractNumId w:val="26"/>
  </w:num>
  <w:num w:numId="12">
    <w:abstractNumId w:val="50"/>
  </w:num>
  <w:num w:numId="13">
    <w:abstractNumId w:val="47"/>
  </w:num>
  <w:num w:numId="14">
    <w:abstractNumId w:val="1"/>
  </w:num>
  <w:num w:numId="15">
    <w:abstractNumId w:val="20"/>
  </w:num>
  <w:num w:numId="16">
    <w:abstractNumId w:val="45"/>
  </w:num>
  <w:num w:numId="17">
    <w:abstractNumId w:val="34"/>
  </w:num>
  <w:num w:numId="18">
    <w:abstractNumId w:val="52"/>
  </w:num>
  <w:num w:numId="19">
    <w:abstractNumId w:val="51"/>
  </w:num>
  <w:num w:numId="20">
    <w:abstractNumId w:val="42"/>
  </w:num>
  <w:num w:numId="21">
    <w:abstractNumId w:val="38"/>
  </w:num>
  <w:num w:numId="22">
    <w:abstractNumId w:val="5"/>
  </w:num>
  <w:num w:numId="23">
    <w:abstractNumId w:val="21"/>
  </w:num>
  <w:num w:numId="24">
    <w:abstractNumId w:val="17"/>
  </w:num>
  <w:num w:numId="25">
    <w:abstractNumId w:val="30"/>
  </w:num>
  <w:num w:numId="26">
    <w:abstractNumId w:val="9"/>
  </w:num>
  <w:num w:numId="27">
    <w:abstractNumId w:val="4"/>
  </w:num>
  <w:num w:numId="28">
    <w:abstractNumId w:val="18"/>
  </w:num>
  <w:num w:numId="29">
    <w:abstractNumId w:val="2"/>
  </w:num>
  <w:num w:numId="30">
    <w:abstractNumId w:val="6"/>
  </w:num>
  <w:num w:numId="31">
    <w:abstractNumId w:val="46"/>
  </w:num>
  <w:num w:numId="32">
    <w:abstractNumId w:val="22"/>
  </w:num>
  <w:num w:numId="33">
    <w:abstractNumId w:val="8"/>
  </w:num>
  <w:num w:numId="34">
    <w:abstractNumId w:val="11"/>
  </w:num>
  <w:num w:numId="35">
    <w:abstractNumId w:val="39"/>
  </w:num>
  <w:num w:numId="36">
    <w:abstractNumId w:val="32"/>
  </w:num>
  <w:num w:numId="37">
    <w:abstractNumId w:val="7"/>
  </w:num>
  <w:num w:numId="38">
    <w:abstractNumId w:val="49"/>
  </w:num>
  <w:num w:numId="39">
    <w:abstractNumId w:val="16"/>
  </w:num>
  <w:num w:numId="40">
    <w:abstractNumId w:val="44"/>
  </w:num>
  <w:num w:numId="41">
    <w:abstractNumId w:val="35"/>
  </w:num>
  <w:num w:numId="42">
    <w:abstractNumId w:val="48"/>
  </w:num>
  <w:num w:numId="43">
    <w:abstractNumId w:val="10"/>
  </w:num>
  <w:num w:numId="44">
    <w:abstractNumId w:val="33"/>
  </w:num>
  <w:num w:numId="45">
    <w:abstractNumId w:val="14"/>
  </w:num>
  <w:num w:numId="46">
    <w:abstractNumId w:val="41"/>
  </w:num>
  <w:num w:numId="47">
    <w:abstractNumId w:val="36"/>
  </w:num>
  <w:num w:numId="48">
    <w:abstractNumId w:val="40"/>
  </w:num>
  <w:num w:numId="49">
    <w:abstractNumId w:val="3"/>
  </w:num>
  <w:num w:numId="50">
    <w:abstractNumId w:val="31"/>
  </w:num>
  <w:num w:numId="51">
    <w:abstractNumId w:val="19"/>
  </w:num>
  <w:num w:numId="52">
    <w:abstractNumId w:val="28"/>
  </w:num>
  <w:num w:numId="53">
    <w:abstractNumId w:val="2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C1"/>
    <w:rsid w:val="000020A9"/>
    <w:rsid w:val="000025AB"/>
    <w:rsid w:val="00002C3D"/>
    <w:rsid w:val="00002C63"/>
    <w:rsid w:val="00002EFA"/>
    <w:rsid w:val="0000681E"/>
    <w:rsid w:val="0001046B"/>
    <w:rsid w:val="00015B5A"/>
    <w:rsid w:val="00015EE4"/>
    <w:rsid w:val="000161D5"/>
    <w:rsid w:val="00026348"/>
    <w:rsid w:val="00031BB9"/>
    <w:rsid w:val="000322C3"/>
    <w:rsid w:val="000371A2"/>
    <w:rsid w:val="00062624"/>
    <w:rsid w:val="00062B0E"/>
    <w:rsid w:val="000630C1"/>
    <w:rsid w:val="00064B62"/>
    <w:rsid w:val="000744D8"/>
    <w:rsid w:val="00077E29"/>
    <w:rsid w:val="000826C7"/>
    <w:rsid w:val="00085830"/>
    <w:rsid w:val="00087D29"/>
    <w:rsid w:val="000920E1"/>
    <w:rsid w:val="00096F48"/>
    <w:rsid w:val="000B1D9E"/>
    <w:rsid w:val="000B4310"/>
    <w:rsid w:val="000D6B93"/>
    <w:rsid w:val="000E2FFE"/>
    <w:rsid w:val="000F5117"/>
    <w:rsid w:val="000F7182"/>
    <w:rsid w:val="0010512B"/>
    <w:rsid w:val="001111C6"/>
    <w:rsid w:val="00121634"/>
    <w:rsid w:val="0012538C"/>
    <w:rsid w:val="00130857"/>
    <w:rsid w:val="00130E51"/>
    <w:rsid w:val="001461E4"/>
    <w:rsid w:val="00147F83"/>
    <w:rsid w:val="00155A5F"/>
    <w:rsid w:val="00155AA3"/>
    <w:rsid w:val="00157CFB"/>
    <w:rsid w:val="00157D9D"/>
    <w:rsid w:val="00160E25"/>
    <w:rsid w:val="00164E85"/>
    <w:rsid w:val="00165644"/>
    <w:rsid w:val="00167A29"/>
    <w:rsid w:val="001728F0"/>
    <w:rsid w:val="0017549F"/>
    <w:rsid w:val="001761B2"/>
    <w:rsid w:val="00177982"/>
    <w:rsid w:val="00180266"/>
    <w:rsid w:val="00185132"/>
    <w:rsid w:val="0018687F"/>
    <w:rsid w:val="00195BC5"/>
    <w:rsid w:val="00195CE3"/>
    <w:rsid w:val="001A3134"/>
    <w:rsid w:val="001A3E8B"/>
    <w:rsid w:val="001A42B6"/>
    <w:rsid w:val="001B32EF"/>
    <w:rsid w:val="001B3BD8"/>
    <w:rsid w:val="001B5709"/>
    <w:rsid w:val="001B6EF4"/>
    <w:rsid w:val="001B7325"/>
    <w:rsid w:val="001C3306"/>
    <w:rsid w:val="001D2BFF"/>
    <w:rsid w:val="001D2CAF"/>
    <w:rsid w:val="001D2F6F"/>
    <w:rsid w:val="001D486F"/>
    <w:rsid w:val="001D6099"/>
    <w:rsid w:val="001D60E2"/>
    <w:rsid w:val="001E0BEA"/>
    <w:rsid w:val="001E1F5E"/>
    <w:rsid w:val="001E5F1C"/>
    <w:rsid w:val="001F550F"/>
    <w:rsid w:val="001F5B83"/>
    <w:rsid w:val="002010F9"/>
    <w:rsid w:val="00203A41"/>
    <w:rsid w:val="00203FA8"/>
    <w:rsid w:val="00207A34"/>
    <w:rsid w:val="00210259"/>
    <w:rsid w:val="00212DCA"/>
    <w:rsid w:val="00216C42"/>
    <w:rsid w:val="0022026E"/>
    <w:rsid w:val="002205F1"/>
    <w:rsid w:val="002236C3"/>
    <w:rsid w:val="00226F72"/>
    <w:rsid w:val="00227243"/>
    <w:rsid w:val="002314CA"/>
    <w:rsid w:val="00231BFD"/>
    <w:rsid w:val="0024608C"/>
    <w:rsid w:val="00246B19"/>
    <w:rsid w:val="00246F51"/>
    <w:rsid w:val="0025549A"/>
    <w:rsid w:val="0026224F"/>
    <w:rsid w:val="002633BB"/>
    <w:rsid w:val="00282966"/>
    <w:rsid w:val="00283CB9"/>
    <w:rsid w:val="002920A3"/>
    <w:rsid w:val="00292803"/>
    <w:rsid w:val="002946CD"/>
    <w:rsid w:val="0029521F"/>
    <w:rsid w:val="00295368"/>
    <w:rsid w:val="002A27ED"/>
    <w:rsid w:val="002B175A"/>
    <w:rsid w:val="002B5851"/>
    <w:rsid w:val="002C0B67"/>
    <w:rsid w:val="002C34D0"/>
    <w:rsid w:val="002C504E"/>
    <w:rsid w:val="002D1D24"/>
    <w:rsid w:val="002D5CAE"/>
    <w:rsid w:val="002D5D71"/>
    <w:rsid w:val="002E200F"/>
    <w:rsid w:val="002E2E6F"/>
    <w:rsid w:val="002E68F7"/>
    <w:rsid w:val="002F0D67"/>
    <w:rsid w:val="002F6D4C"/>
    <w:rsid w:val="00305844"/>
    <w:rsid w:val="00325A9B"/>
    <w:rsid w:val="00331D81"/>
    <w:rsid w:val="0033545A"/>
    <w:rsid w:val="00342585"/>
    <w:rsid w:val="00344F98"/>
    <w:rsid w:val="00351031"/>
    <w:rsid w:val="00352E42"/>
    <w:rsid w:val="0036186E"/>
    <w:rsid w:val="003623D3"/>
    <w:rsid w:val="0036555C"/>
    <w:rsid w:val="00372EFA"/>
    <w:rsid w:val="00382680"/>
    <w:rsid w:val="0038391F"/>
    <w:rsid w:val="00391C79"/>
    <w:rsid w:val="003950DF"/>
    <w:rsid w:val="003B29B4"/>
    <w:rsid w:val="003B6872"/>
    <w:rsid w:val="003C4E3E"/>
    <w:rsid w:val="003C6921"/>
    <w:rsid w:val="003C7E35"/>
    <w:rsid w:val="003D7E30"/>
    <w:rsid w:val="003E3289"/>
    <w:rsid w:val="003E69D8"/>
    <w:rsid w:val="003F1FE1"/>
    <w:rsid w:val="003F5F33"/>
    <w:rsid w:val="004000D7"/>
    <w:rsid w:val="00402A7B"/>
    <w:rsid w:val="00405F41"/>
    <w:rsid w:val="00410564"/>
    <w:rsid w:val="00413249"/>
    <w:rsid w:val="0042060A"/>
    <w:rsid w:val="00420B3B"/>
    <w:rsid w:val="00423388"/>
    <w:rsid w:val="00426893"/>
    <w:rsid w:val="0043062B"/>
    <w:rsid w:val="004323E7"/>
    <w:rsid w:val="00433BC8"/>
    <w:rsid w:val="00444B16"/>
    <w:rsid w:val="00446ECC"/>
    <w:rsid w:val="00452DD1"/>
    <w:rsid w:val="00456F4D"/>
    <w:rsid w:val="00462115"/>
    <w:rsid w:val="00462E5E"/>
    <w:rsid w:val="00463965"/>
    <w:rsid w:val="00470852"/>
    <w:rsid w:val="00470B5E"/>
    <w:rsid w:val="00470FBE"/>
    <w:rsid w:val="0047228A"/>
    <w:rsid w:val="00474D8B"/>
    <w:rsid w:val="00476FED"/>
    <w:rsid w:val="004806A4"/>
    <w:rsid w:val="0048099F"/>
    <w:rsid w:val="00481DF7"/>
    <w:rsid w:val="00483D54"/>
    <w:rsid w:val="00487864"/>
    <w:rsid w:val="00494A11"/>
    <w:rsid w:val="00495B68"/>
    <w:rsid w:val="00496211"/>
    <w:rsid w:val="004A4D89"/>
    <w:rsid w:val="004B1419"/>
    <w:rsid w:val="004B233F"/>
    <w:rsid w:val="004B38EF"/>
    <w:rsid w:val="004C1873"/>
    <w:rsid w:val="004C45DC"/>
    <w:rsid w:val="004C4761"/>
    <w:rsid w:val="004D0159"/>
    <w:rsid w:val="004E21B8"/>
    <w:rsid w:val="004E24A2"/>
    <w:rsid w:val="004E2A3F"/>
    <w:rsid w:val="004F0C6A"/>
    <w:rsid w:val="004F3DEB"/>
    <w:rsid w:val="00500B13"/>
    <w:rsid w:val="00504E43"/>
    <w:rsid w:val="0050574C"/>
    <w:rsid w:val="005075FE"/>
    <w:rsid w:val="00513417"/>
    <w:rsid w:val="00520957"/>
    <w:rsid w:val="0053370B"/>
    <w:rsid w:val="0053409A"/>
    <w:rsid w:val="00556F59"/>
    <w:rsid w:val="00560B01"/>
    <w:rsid w:val="00572DCF"/>
    <w:rsid w:val="0057327A"/>
    <w:rsid w:val="0057379D"/>
    <w:rsid w:val="00585BD7"/>
    <w:rsid w:val="00585C19"/>
    <w:rsid w:val="005865FC"/>
    <w:rsid w:val="00593205"/>
    <w:rsid w:val="005A24DC"/>
    <w:rsid w:val="005A2FE7"/>
    <w:rsid w:val="005A6455"/>
    <w:rsid w:val="005B55E2"/>
    <w:rsid w:val="005C2D00"/>
    <w:rsid w:val="005C3093"/>
    <w:rsid w:val="005D4DD8"/>
    <w:rsid w:val="005D69D7"/>
    <w:rsid w:val="005D79B7"/>
    <w:rsid w:val="005E0FB9"/>
    <w:rsid w:val="005E2482"/>
    <w:rsid w:val="005E2FB0"/>
    <w:rsid w:val="005F1E56"/>
    <w:rsid w:val="005F3A85"/>
    <w:rsid w:val="005F5746"/>
    <w:rsid w:val="006014C7"/>
    <w:rsid w:val="00603D0E"/>
    <w:rsid w:val="006062EA"/>
    <w:rsid w:val="0060641B"/>
    <w:rsid w:val="006116E5"/>
    <w:rsid w:val="00612435"/>
    <w:rsid w:val="0061254D"/>
    <w:rsid w:val="00616038"/>
    <w:rsid w:val="0062165F"/>
    <w:rsid w:val="0062352C"/>
    <w:rsid w:val="006246FC"/>
    <w:rsid w:val="006310D2"/>
    <w:rsid w:val="006315AF"/>
    <w:rsid w:val="00633CD3"/>
    <w:rsid w:val="00636200"/>
    <w:rsid w:val="00640BF1"/>
    <w:rsid w:val="00642823"/>
    <w:rsid w:val="00645FF0"/>
    <w:rsid w:val="00646ABD"/>
    <w:rsid w:val="006538B4"/>
    <w:rsid w:val="0065395E"/>
    <w:rsid w:val="006548CE"/>
    <w:rsid w:val="00657A49"/>
    <w:rsid w:val="00666BB0"/>
    <w:rsid w:val="00671074"/>
    <w:rsid w:val="00671AD6"/>
    <w:rsid w:val="0067239B"/>
    <w:rsid w:val="006736E1"/>
    <w:rsid w:val="00676C1B"/>
    <w:rsid w:val="00680806"/>
    <w:rsid w:val="00687681"/>
    <w:rsid w:val="006B0AA1"/>
    <w:rsid w:val="006B530E"/>
    <w:rsid w:val="006C0185"/>
    <w:rsid w:val="006C3719"/>
    <w:rsid w:val="006C638F"/>
    <w:rsid w:val="006D30A1"/>
    <w:rsid w:val="006D691B"/>
    <w:rsid w:val="006E30E2"/>
    <w:rsid w:val="006E455A"/>
    <w:rsid w:val="006E5B5C"/>
    <w:rsid w:val="006E618D"/>
    <w:rsid w:val="006F01F3"/>
    <w:rsid w:val="006F120D"/>
    <w:rsid w:val="00701577"/>
    <w:rsid w:val="00703EA2"/>
    <w:rsid w:val="007059F3"/>
    <w:rsid w:val="00705BE2"/>
    <w:rsid w:val="007114FE"/>
    <w:rsid w:val="00720143"/>
    <w:rsid w:val="00720D1E"/>
    <w:rsid w:val="00735296"/>
    <w:rsid w:val="00736090"/>
    <w:rsid w:val="00736AAE"/>
    <w:rsid w:val="00746F61"/>
    <w:rsid w:val="00751CC4"/>
    <w:rsid w:val="00756592"/>
    <w:rsid w:val="007704AD"/>
    <w:rsid w:val="007733E4"/>
    <w:rsid w:val="007769CE"/>
    <w:rsid w:val="00776C80"/>
    <w:rsid w:val="007824EF"/>
    <w:rsid w:val="00782B0F"/>
    <w:rsid w:val="00783A42"/>
    <w:rsid w:val="00785144"/>
    <w:rsid w:val="00790583"/>
    <w:rsid w:val="00790766"/>
    <w:rsid w:val="007908F4"/>
    <w:rsid w:val="00791DBC"/>
    <w:rsid w:val="007928F8"/>
    <w:rsid w:val="00796D15"/>
    <w:rsid w:val="00797E65"/>
    <w:rsid w:val="007A022B"/>
    <w:rsid w:val="007A2155"/>
    <w:rsid w:val="007A21B9"/>
    <w:rsid w:val="007B03D3"/>
    <w:rsid w:val="007B35C4"/>
    <w:rsid w:val="007C20DE"/>
    <w:rsid w:val="007C4A17"/>
    <w:rsid w:val="007C665E"/>
    <w:rsid w:val="007D2E6F"/>
    <w:rsid w:val="007D532B"/>
    <w:rsid w:val="007D5FC2"/>
    <w:rsid w:val="007E0C62"/>
    <w:rsid w:val="007E3E51"/>
    <w:rsid w:val="007E78F9"/>
    <w:rsid w:val="007F5E0B"/>
    <w:rsid w:val="007F60E6"/>
    <w:rsid w:val="00800E8F"/>
    <w:rsid w:val="0080103E"/>
    <w:rsid w:val="00802CD4"/>
    <w:rsid w:val="008036B3"/>
    <w:rsid w:val="00804F6B"/>
    <w:rsid w:val="00811330"/>
    <w:rsid w:val="00812F42"/>
    <w:rsid w:val="00817E7F"/>
    <w:rsid w:val="00823EFB"/>
    <w:rsid w:val="00832B63"/>
    <w:rsid w:val="008427A0"/>
    <w:rsid w:val="00843E9C"/>
    <w:rsid w:val="00852C51"/>
    <w:rsid w:val="008555C7"/>
    <w:rsid w:val="00855A8E"/>
    <w:rsid w:val="0085688D"/>
    <w:rsid w:val="008576AA"/>
    <w:rsid w:val="00860366"/>
    <w:rsid w:val="0086219B"/>
    <w:rsid w:val="00863C01"/>
    <w:rsid w:val="00865B13"/>
    <w:rsid w:val="00866B3C"/>
    <w:rsid w:val="008672B3"/>
    <w:rsid w:val="00867AEB"/>
    <w:rsid w:val="00867C04"/>
    <w:rsid w:val="00870870"/>
    <w:rsid w:val="00871686"/>
    <w:rsid w:val="00876DAC"/>
    <w:rsid w:val="0088308D"/>
    <w:rsid w:val="008835F0"/>
    <w:rsid w:val="00887DA5"/>
    <w:rsid w:val="008908D8"/>
    <w:rsid w:val="00891210"/>
    <w:rsid w:val="0089473D"/>
    <w:rsid w:val="008C0CE2"/>
    <w:rsid w:val="008C2E1F"/>
    <w:rsid w:val="008C4461"/>
    <w:rsid w:val="008C474E"/>
    <w:rsid w:val="008C6FBB"/>
    <w:rsid w:val="008D08FC"/>
    <w:rsid w:val="008D72FD"/>
    <w:rsid w:val="008E1440"/>
    <w:rsid w:val="008E14A0"/>
    <w:rsid w:val="008E3028"/>
    <w:rsid w:val="008F3096"/>
    <w:rsid w:val="008F38E9"/>
    <w:rsid w:val="008F7319"/>
    <w:rsid w:val="00904B60"/>
    <w:rsid w:val="009100E9"/>
    <w:rsid w:val="009203C0"/>
    <w:rsid w:val="00922B76"/>
    <w:rsid w:val="00925E6C"/>
    <w:rsid w:val="00930140"/>
    <w:rsid w:val="009301C6"/>
    <w:rsid w:val="0093045F"/>
    <w:rsid w:val="009315D4"/>
    <w:rsid w:val="00933075"/>
    <w:rsid w:val="00940480"/>
    <w:rsid w:val="00945BF7"/>
    <w:rsid w:val="009541B6"/>
    <w:rsid w:val="00956203"/>
    <w:rsid w:val="00957390"/>
    <w:rsid w:val="009614B1"/>
    <w:rsid w:val="00963E84"/>
    <w:rsid w:val="00970EBA"/>
    <w:rsid w:val="009716CA"/>
    <w:rsid w:val="00971AF9"/>
    <w:rsid w:val="009752F7"/>
    <w:rsid w:val="00975B83"/>
    <w:rsid w:val="00992E04"/>
    <w:rsid w:val="00995E63"/>
    <w:rsid w:val="00996D39"/>
    <w:rsid w:val="0099709A"/>
    <w:rsid w:val="009A2508"/>
    <w:rsid w:val="009A72AC"/>
    <w:rsid w:val="009B1279"/>
    <w:rsid w:val="009B4C60"/>
    <w:rsid w:val="009C6E0C"/>
    <w:rsid w:val="009D223D"/>
    <w:rsid w:val="009D5816"/>
    <w:rsid w:val="009E2223"/>
    <w:rsid w:val="009E2559"/>
    <w:rsid w:val="009F0312"/>
    <w:rsid w:val="009F184C"/>
    <w:rsid w:val="00A0103E"/>
    <w:rsid w:val="00A027C9"/>
    <w:rsid w:val="00A11430"/>
    <w:rsid w:val="00A11512"/>
    <w:rsid w:val="00A1294D"/>
    <w:rsid w:val="00A204A4"/>
    <w:rsid w:val="00A2714E"/>
    <w:rsid w:val="00A27A19"/>
    <w:rsid w:val="00A3004E"/>
    <w:rsid w:val="00A45495"/>
    <w:rsid w:val="00A47067"/>
    <w:rsid w:val="00A56564"/>
    <w:rsid w:val="00A56931"/>
    <w:rsid w:val="00A70086"/>
    <w:rsid w:val="00A714FD"/>
    <w:rsid w:val="00A72676"/>
    <w:rsid w:val="00A80DA0"/>
    <w:rsid w:val="00A81E6A"/>
    <w:rsid w:val="00A84035"/>
    <w:rsid w:val="00A84457"/>
    <w:rsid w:val="00A87F48"/>
    <w:rsid w:val="00A9332A"/>
    <w:rsid w:val="00A95C47"/>
    <w:rsid w:val="00A96C54"/>
    <w:rsid w:val="00AA3328"/>
    <w:rsid w:val="00AA3C23"/>
    <w:rsid w:val="00AA485D"/>
    <w:rsid w:val="00AA6DB1"/>
    <w:rsid w:val="00AB2CB5"/>
    <w:rsid w:val="00AB49F7"/>
    <w:rsid w:val="00AB7FB9"/>
    <w:rsid w:val="00AC220F"/>
    <w:rsid w:val="00AC2F73"/>
    <w:rsid w:val="00AC7153"/>
    <w:rsid w:val="00AE5B9E"/>
    <w:rsid w:val="00AF6A77"/>
    <w:rsid w:val="00B0319D"/>
    <w:rsid w:val="00B1610E"/>
    <w:rsid w:val="00B16D91"/>
    <w:rsid w:val="00B175E9"/>
    <w:rsid w:val="00B2578E"/>
    <w:rsid w:val="00B26AA5"/>
    <w:rsid w:val="00B31731"/>
    <w:rsid w:val="00B35344"/>
    <w:rsid w:val="00B37350"/>
    <w:rsid w:val="00B378E6"/>
    <w:rsid w:val="00B40B1B"/>
    <w:rsid w:val="00B4174E"/>
    <w:rsid w:val="00B46343"/>
    <w:rsid w:val="00B51F24"/>
    <w:rsid w:val="00B54A55"/>
    <w:rsid w:val="00B569C9"/>
    <w:rsid w:val="00B57C18"/>
    <w:rsid w:val="00B62C16"/>
    <w:rsid w:val="00B70E20"/>
    <w:rsid w:val="00B73768"/>
    <w:rsid w:val="00B80A79"/>
    <w:rsid w:val="00B82BB7"/>
    <w:rsid w:val="00B84A26"/>
    <w:rsid w:val="00B85AAC"/>
    <w:rsid w:val="00B85F11"/>
    <w:rsid w:val="00B93E83"/>
    <w:rsid w:val="00B97630"/>
    <w:rsid w:val="00BA0C8E"/>
    <w:rsid w:val="00BA0F8D"/>
    <w:rsid w:val="00BA2360"/>
    <w:rsid w:val="00BA4251"/>
    <w:rsid w:val="00BA4D02"/>
    <w:rsid w:val="00BB03B6"/>
    <w:rsid w:val="00BB11B4"/>
    <w:rsid w:val="00BB39E7"/>
    <w:rsid w:val="00BC5552"/>
    <w:rsid w:val="00BD053D"/>
    <w:rsid w:val="00BD2D11"/>
    <w:rsid w:val="00BD78BF"/>
    <w:rsid w:val="00BE105D"/>
    <w:rsid w:val="00BF03B6"/>
    <w:rsid w:val="00BF0C91"/>
    <w:rsid w:val="00C0088F"/>
    <w:rsid w:val="00C00977"/>
    <w:rsid w:val="00C012AE"/>
    <w:rsid w:val="00C034C3"/>
    <w:rsid w:val="00C04132"/>
    <w:rsid w:val="00C076BA"/>
    <w:rsid w:val="00C11DB7"/>
    <w:rsid w:val="00C16822"/>
    <w:rsid w:val="00C229E4"/>
    <w:rsid w:val="00C2341A"/>
    <w:rsid w:val="00C268C3"/>
    <w:rsid w:val="00C301AD"/>
    <w:rsid w:val="00C41C22"/>
    <w:rsid w:val="00C43B44"/>
    <w:rsid w:val="00C54322"/>
    <w:rsid w:val="00C558B5"/>
    <w:rsid w:val="00C66E74"/>
    <w:rsid w:val="00C707CC"/>
    <w:rsid w:val="00C7231A"/>
    <w:rsid w:val="00C75E48"/>
    <w:rsid w:val="00C87312"/>
    <w:rsid w:val="00C90BF3"/>
    <w:rsid w:val="00CA2253"/>
    <w:rsid w:val="00CB0DF9"/>
    <w:rsid w:val="00CC2BAF"/>
    <w:rsid w:val="00CC35D4"/>
    <w:rsid w:val="00CC6B8D"/>
    <w:rsid w:val="00CC6F91"/>
    <w:rsid w:val="00CC7EBA"/>
    <w:rsid w:val="00CD093F"/>
    <w:rsid w:val="00CD1F84"/>
    <w:rsid w:val="00CD3C48"/>
    <w:rsid w:val="00CE0A41"/>
    <w:rsid w:val="00CE319F"/>
    <w:rsid w:val="00CE4B12"/>
    <w:rsid w:val="00CF1B29"/>
    <w:rsid w:val="00CF3045"/>
    <w:rsid w:val="00CF664E"/>
    <w:rsid w:val="00D00F8A"/>
    <w:rsid w:val="00D05F1B"/>
    <w:rsid w:val="00D071C6"/>
    <w:rsid w:val="00D1519A"/>
    <w:rsid w:val="00D17E54"/>
    <w:rsid w:val="00D21885"/>
    <w:rsid w:val="00D269B7"/>
    <w:rsid w:val="00D277F6"/>
    <w:rsid w:val="00D27BE5"/>
    <w:rsid w:val="00D30DF6"/>
    <w:rsid w:val="00D40BE8"/>
    <w:rsid w:val="00D42B58"/>
    <w:rsid w:val="00D437AF"/>
    <w:rsid w:val="00D463E1"/>
    <w:rsid w:val="00D50D70"/>
    <w:rsid w:val="00D51AB7"/>
    <w:rsid w:val="00D57D31"/>
    <w:rsid w:val="00D66E6B"/>
    <w:rsid w:val="00D777A8"/>
    <w:rsid w:val="00D853FB"/>
    <w:rsid w:val="00D9188E"/>
    <w:rsid w:val="00D951BF"/>
    <w:rsid w:val="00D9527D"/>
    <w:rsid w:val="00D96B67"/>
    <w:rsid w:val="00DA0B9C"/>
    <w:rsid w:val="00DA3E28"/>
    <w:rsid w:val="00DA6932"/>
    <w:rsid w:val="00DA69AA"/>
    <w:rsid w:val="00DB3666"/>
    <w:rsid w:val="00DB5D09"/>
    <w:rsid w:val="00DC5AC0"/>
    <w:rsid w:val="00DD14B6"/>
    <w:rsid w:val="00DD4C3C"/>
    <w:rsid w:val="00DE1BCC"/>
    <w:rsid w:val="00DE2182"/>
    <w:rsid w:val="00DE2846"/>
    <w:rsid w:val="00DF065F"/>
    <w:rsid w:val="00DF09F9"/>
    <w:rsid w:val="00DF122E"/>
    <w:rsid w:val="00DF37B2"/>
    <w:rsid w:val="00DF4347"/>
    <w:rsid w:val="00DF5707"/>
    <w:rsid w:val="00DF6146"/>
    <w:rsid w:val="00DF6736"/>
    <w:rsid w:val="00DF7081"/>
    <w:rsid w:val="00E02A22"/>
    <w:rsid w:val="00E03850"/>
    <w:rsid w:val="00E05962"/>
    <w:rsid w:val="00E0610C"/>
    <w:rsid w:val="00E14663"/>
    <w:rsid w:val="00E1530B"/>
    <w:rsid w:val="00E154A5"/>
    <w:rsid w:val="00E16056"/>
    <w:rsid w:val="00E16A43"/>
    <w:rsid w:val="00E224E0"/>
    <w:rsid w:val="00E256C5"/>
    <w:rsid w:val="00E40AA4"/>
    <w:rsid w:val="00E40E1E"/>
    <w:rsid w:val="00E42819"/>
    <w:rsid w:val="00E508C9"/>
    <w:rsid w:val="00E553E5"/>
    <w:rsid w:val="00E6416A"/>
    <w:rsid w:val="00E7266C"/>
    <w:rsid w:val="00E734F8"/>
    <w:rsid w:val="00E77670"/>
    <w:rsid w:val="00E934B1"/>
    <w:rsid w:val="00EB000B"/>
    <w:rsid w:val="00EB030A"/>
    <w:rsid w:val="00EB2207"/>
    <w:rsid w:val="00EB2B13"/>
    <w:rsid w:val="00EC076B"/>
    <w:rsid w:val="00EC0F63"/>
    <w:rsid w:val="00EC425F"/>
    <w:rsid w:val="00ED44B9"/>
    <w:rsid w:val="00ED4C96"/>
    <w:rsid w:val="00ED57C1"/>
    <w:rsid w:val="00ED5EE0"/>
    <w:rsid w:val="00ED6257"/>
    <w:rsid w:val="00ED65E5"/>
    <w:rsid w:val="00EE0B35"/>
    <w:rsid w:val="00EE7125"/>
    <w:rsid w:val="00EF1D26"/>
    <w:rsid w:val="00EF2E58"/>
    <w:rsid w:val="00EF56B8"/>
    <w:rsid w:val="00F00FE2"/>
    <w:rsid w:val="00F052D0"/>
    <w:rsid w:val="00F07C1A"/>
    <w:rsid w:val="00F14522"/>
    <w:rsid w:val="00F157D1"/>
    <w:rsid w:val="00F20858"/>
    <w:rsid w:val="00F20D09"/>
    <w:rsid w:val="00F2144C"/>
    <w:rsid w:val="00F24755"/>
    <w:rsid w:val="00F30327"/>
    <w:rsid w:val="00F30AD4"/>
    <w:rsid w:val="00F372DF"/>
    <w:rsid w:val="00F40EB6"/>
    <w:rsid w:val="00F427D4"/>
    <w:rsid w:val="00F45125"/>
    <w:rsid w:val="00F5110B"/>
    <w:rsid w:val="00F57323"/>
    <w:rsid w:val="00F60CA1"/>
    <w:rsid w:val="00F64C01"/>
    <w:rsid w:val="00F6631F"/>
    <w:rsid w:val="00F70FEB"/>
    <w:rsid w:val="00F75A50"/>
    <w:rsid w:val="00F76BCE"/>
    <w:rsid w:val="00F85136"/>
    <w:rsid w:val="00F93182"/>
    <w:rsid w:val="00F93F16"/>
    <w:rsid w:val="00FA24C4"/>
    <w:rsid w:val="00FA30E1"/>
    <w:rsid w:val="00FA50FB"/>
    <w:rsid w:val="00FB1C04"/>
    <w:rsid w:val="00FB3183"/>
    <w:rsid w:val="00FB3FB9"/>
    <w:rsid w:val="00FB7666"/>
    <w:rsid w:val="00FB7F04"/>
    <w:rsid w:val="00FC516F"/>
    <w:rsid w:val="00FD3A85"/>
    <w:rsid w:val="00FD444A"/>
    <w:rsid w:val="00FD57A3"/>
    <w:rsid w:val="00FE1D4A"/>
    <w:rsid w:val="00FE2919"/>
    <w:rsid w:val="00FE54D5"/>
    <w:rsid w:val="00FE5E2D"/>
    <w:rsid w:val="00FF050B"/>
    <w:rsid w:val="00FF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7C1"/>
    <w:pPr>
      <w:tabs>
        <w:tab w:val="center" w:pos="4513"/>
        <w:tab w:val="right" w:pos="9026"/>
      </w:tabs>
    </w:pPr>
  </w:style>
  <w:style w:type="character" w:customStyle="1" w:styleId="HeaderChar">
    <w:name w:val="Header Char"/>
    <w:basedOn w:val="DefaultParagraphFont"/>
    <w:link w:val="Header"/>
    <w:uiPriority w:val="99"/>
    <w:rsid w:val="00ED57C1"/>
  </w:style>
  <w:style w:type="paragraph" w:styleId="Footer">
    <w:name w:val="footer"/>
    <w:basedOn w:val="Normal"/>
    <w:link w:val="FooterChar"/>
    <w:uiPriority w:val="99"/>
    <w:unhideWhenUsed/>
    <w:rsid w:val="00ED57C1"/>
    <w:pPr>
      <w:tabs>
        <w:tab w:val="center" w:pos="4513"/>
        <w:tab w:val="right" w:pos="9026"/>
      </w:tabs>
    </w:pPr>
  </w:style>
  <w:style w:type="character" w:customStyle="1" w:styleId="FooterChar">
    <w:name w:val="Footer Char"/>
    <w:basedOn w:val="DefaultParagraphFont"/>
    <w:link w:val="Footer"/>
    <w:uiPriority w:val="99"/>
    <w:rsid w:val="00ED57C1"/>
  </w:style>
  <w:style w:type="paragraph" w:styleId="BalloonText">
    <w:name w:val="Balloon Text"/>
    <w:basedOn w:val="Normal"/>
    <w:link w:val="BalloonTextChar"/>
    <w:uiPriority w:val="99"/>
    <w:semiHidden/>
    <w:unhideWhenUsed/>
    <w:rsid w:val="00ED57C1"/>
    <w:rPr>
      <w:rFonts w:ascii="Tahoma" w:hAnsi="Tahoma" w:cs="Tahoma"/>
      <w:sz w:val="16"/>
      <w:szCs w:val="16"/>
    </w:rPr>
  </w:style>
  <w:style w:type="character" w:customStyle="1" w:styleId="BalloonTextChar">
    <w:name w:val="Balloon Text Char"/>
    <w:basedOn w:val="DefaultParagraphFont"/>
    <w:link w:val="BalloonText"/>
    <w:uiPriority w:val="99"/>
    <w:semiHidden/>
    <w:rsid w:val="00ED57C1"/>
    <w:rPr>
      <w:rFonts w:ascii="Tahoma" w:hAnsi="Tahoma" w:cs="Tahoma"/>
      <w:sz w:val="16"/>
      <w:szCs w:val="16"/>
    </w:rPr>
  </w:style>
  <w:style w:type="character" w:styleId="CommentReference">
    <w:name w:val="annotation reference"/>
    <w:basedOn w:val="DefaultParagraphFont"/>
    <w:uiPriority w:val="99"/>
    <w:semiHidden/>
    <w:unhideWhenUsed/>
    <w:rsid w:val="001B32EF"/>
    <w:rPr>
      <w:sz w:val="16"/>
      <w:szCs w:val="16"/>
    </w:rPr>
  </w:style>
  <w:style w:type="paragraph" w:styleId="CommentText">
    <w:name w:val="annotation text"/>
    <w:basedOn w:val="Normal"/>
    <w:link w:val="CommentTextChar"/>
    <w:uiPriority w:val="99"/>
    <w:semiHidden/>
    <w:unhideWhenUsed/>
    <w:rsid w:val="001B32EF"/>
    <w:rPr>
      <w:sz w:val="20"/>
      <w:szCs w:val="20"/>
    </w:rPr>
  </w:style>
  <w:style w:type="character" w:customStyle="1" w:styleId="CommentTextChar">
    <w:name w:val="Comment Text Char"/>
    <w:basedOn w:val="DefaultParagraphFont"/>
    <w:link w:val="CommentText"/>
    <w:uiPriority w:val="99"/>
    <w:semiHidden/>
    <w:rsid w:val="001B32EF"/>
    <w:rPr>
      <w:sz w:val="20"/>
      <w:szCs w:val="20"/>
    </w:rPr>
  </w:style>
  <w:style w:type="paragraph" w:styleId="CommentSubject">
    <w:name w:val="annotation subject"/>
    <w:basedOn w:val="CommentText"/>
    <w:next w:val="CommentText"/>
    <w:link w:val="CommentSubjectChar"/>
    <w:uiPriority w:val="99"/>
    <w:semiHidden/>
    <w:unhideWhenUsed/>
    <w:rsid w:val="001B32EF"/>
    <w:rPr>
      <w:b/>
      <w:bCs/>
    </w:rPr>
  </w:style>
  <w:style w:type="character" w:customStyle="1" w:styleId="CommentSubjectChar">
    <w:name w:val="Comment Subject Char"/>
    <w:basedOn w:val="CommentTextChar"/>
    <w:link w:val="CommentSubject"/>
    <w:uiPriority w:val="99"/>
    <w:semiHidden/>
    <w:rsid w:val="001B32EF"/>
    <w:rPr>
      <w:b/>
      <w:bCs/>
      <w:sz w:val="20"/>
      <w:szCs w:val="20"/>
    </w:rPr>
  </w:style>
  <w:style w:type="paragraph" w:styleId="ListParagraph">
    <w:name w:val="List Paragraph"/>
    <w:basedOn w:val="Normal"/>
    <w:uiPriority w:val="34"/>
    <w:qFormat/>
    <w:rsid w:val="00BD2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7C1"/>
    <w:pPr>
      <w:tabs>
        <w:tab w:val="center" w:pos="4513"/>
        <w:tab w:val="right" w:pos="9026"/>
      </w:tabs>
    </w:pPr>
  </w:style>
  <w:style w:type="character" w:customStyle="1" w:styleId="HeaderChar">
    <w:name w:val="Header Char"/>
    <w:basedOn w:val="DefaultParagraphFont"/>
    <w:link w:val="Header"/>
    <w:uiPriority w:val="99"/>
    <w:rsid w:val="00ED57C1"/>
  </w:style>
  <w:style w:type="paragraph" w:styleId="Footer">
    <w:name w:val="footer"/>
    <w:basedOn w:val="Normal"/>
    <w:link w:val="FooterChar"/>
    <w:uiPriority w:val="99"/>
    <w:unhideWhenUsed/>
    <w:rsid w:val="00ED57C1"/>
    <w:pPr>
      <w:tabs>
        <w:tab w:val="center" w:pos="4513"/>
        <w:tab w:val="right" w:pos="9026"/>
      </w:tabs>
    </w:pPr>
  </w:style>
  <w:style w:type="character" w:customStyle="1" w:styleId="FooterChar">
    <w:name w:val="Footer Char"/>
    <w:basedOn w:val="DefaultParagraphFont"/>
    <w:link w:val="Footer"/>
    <w:uiPriority w:val="99"/>
    <w:rsid w:val="00ED57C1"/>
  </w:style>
  <w:style w:type="paragraph" w:styleId="BalloonText">
    <w:name w:val="Balloon Text"/>
    <w:basedOn w:val="Normal"/>
    <w:link w:val="BalloonTextChar"/>
    <w:uiPriority w:val="99"/>
    <w:semiHidden/>
    <w:unhideWhenUsed/>
    <w:rsid w:val="00ED57C1"/>
    <w:rPr>
      <w:rFonts w:ascii="Tahoma" w:hAnsi="Tahoma" w:cs="Tahoma"/>
      <w:sz w:val="16"/>
      <w:szCs w:val="16"/>
    </w:rPr>
  </w:style>
  <w:style w:type="character" w:customStyle="1" w:styleId="BalloonTextChar">
    <w:name w:val="Balloon Text Char"/>
    <w:basedOn w:val="DefaultParagraphFont"/>
    <w:link w:val="BalloonText"/>
    <w:uiPriority w:val="99"/>
    <w:semiHidden/>
    <w:rsid w:val="00ED57C1"/>
    <w:rPr>
      <w:rFonts w:ascii="Tahoma" w:hAnsi="Tahoma" w:cs="Tahoma"/>
      <w:sz w:val="16"/>
      <w:szCs w:val="16"/>
    </w:rPr>
  </w:style>
  <w:style w:type="character" w:styleId="CommentReference">
    <w:name w:val="annotation reference"/>
    <w:basedOn w:val="DefaultParagraphFont"/>
    <w:uiPriority w:val="99"/>
    <w:semiHidden/>
    <w:unhideWhenUsed/>
    <w:rsid w:val="001B32EF"/>
    <w:rPr>
      <w:sz w:val="16"/>
      <w:szCs w:val="16"/>
    </w:rPr>
  </w:style>
  <w:style w:type="paragraph" w:styleId="CommentText">
    <w:name w:val="annotation text"/>
    <w:basedOn w:val="Normal"/>
    <w:link w:val="CommentTextChar"/>
    <w:uiPriority w:val="99"/>
    <w:semiHidden/>
    <w:unhideWhenUsed/>
    <w:rsid w:val="001B32EF"/>
    <w:rPr>
      <w:sz w:val="20"/>
      <w:szCs w:val="20"/>
    </w:rPr>
  </w:style>
  <w:style w:type="character" w:customStyle="1" w:styleId="CommentTextChar">
    <w:name w:val="Comment Text Char"/>
    <w:basedOn w:val="DefaultParagraphFont"/>
    <w:link w:val="CommentText"/>
    <w:uiPriority w:val="99"/>
    <w:semiHidden/>
    <w:rsid w:val="001B32EF"/>
    <w:rPr>
      <w:sz w:val="20"/>
      <w:szCs w:val="20"/>
    </w:rPr>
  </w:style>
  <w:style w:type="paragraph" w:styleId="CommentSubject">
    <w:name w:val="annotation subject"/>
    <w:basedOn w:val="CommentText"/>
    <w:next w:val="CommentText"/>
    <w:link w:val="CommentSubjectChar"/>
    <w:uiPriority w:val="99"/>
    <w:semiHidden/>
    <w:unhideWhenUsed/>
    <w:rsid w:val="001B32EF"/>
    <w:rPr>
      <w:b/>
      <w:bCs/>
    </w:rPr>
  </w:style>
  <w:style w:type="character" w:customStyle="1" w:styleId="CommentSubjectChar">
    <w:name w:val="Comment Subject Char"/>
    <w:basedOn w:val="CommentTextChar"/>
    <w:link w:val="CommentSubject"/>
    <w:uiPriority w:val="99"/>
    <w:semiHidden/>
    <w:rsid w:val="001B32EF"/>
    <w:rPr>
      <w:b/>
      <w:bCs/>
      <w:sz w:val="20"/>
      <w:szCs w:val="20"/>
    </w:rPr>
  </w:style>
  <w:style w:type="paragraph" w:styleId="ListParagraph">
    <w:name w:val="List Paragraph"/>
    <w:basedOn w:val="Normal"/>
    <w:uiPriority w:val="34"/>
    <w:qFormat/>
    <w:rsid w:val="00BD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6693">
      <w:bodyDiv w:val="1"/>
      <w:marLeft w:val="0"/>
      <w:marRight w:val="0"/>
      <w:marTop w:val="0"/>
      <w:marBottom w:val="0"/>
      <w:divBdr>
        <w:top w:val="none" w:sz="0" w:space="0" w:color="auto"/>
        <w:left w:val="none" w:sz="0" w:space="0" w:color="auto"/>
        <w:bottom w:val="none" w:sz="0" w:space="0" w:color="auto"/>
        <w:right w:val="none" w:sz="0" w:space="0" w:color="auto"/>
      </w:divBdr>
    </w:div>
    <w:div w:id="987703882">
      <w:bodyDiv w:val="1"/>
      <w:marLeft w:val="0"/>
      <w:marRight w:val="0"/>
      <w:marTop w:val="0"/>
      <w:marBottom w:val="0"/>
      <w:divBdr>
        <w:top w:val="none" w:sz="0" w:space="0" w:color="auto"/>
        <w:left w:val="none" w:sz="0" w:space="0" w:color="auto"/>
        <w:bottom w:val="none" w:sz="0" w:space="0" w:color="auto"/>
        <w:right w:val="none" w:sz="0" w:space="0" w:color="auto"/>
      </w:divBdr>
    </w:div>
    <w:div w:id="1146509656">
      <w:bodyDiv w:val="1"/>
      <w:marLeft w:val="0"/>
      <w:marRight w:val="0"/>
      <w:marTop w:val="0"/>
      <w:marBottom w:val="0"/>
      <w:divBdr>
        <w:top w:val="none" w:sz="0" w:space="0" w:color="auto"/>
        <w:left w:val="none" w:sz="0" w:space="0" w:color="auto"/>
        <w:bottom w:val="none" w:sz="0" w:space="0" w:color="auto"/>
        <w:right w:val="none" w:sz="0" w:space="0" w:color="auto"/>
      </w:divBdr>
    </w:div>
    <w:div w:id="1328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DBAD7-1587-41EC-BC15-028D829781EC}" type="doc">
      <dgm:prSet loTypeId="urn:microsoft.com/office/officeart/2005/8/layout/venn1" loCatId="relationship" qsTypeId="urn:microsoft.com/office/officeart/2005/8/quickstyle/simple1" qsCatId="simple" csTypeId="urn:microsoft.com/office/officeart/2005/8/colors/accent1_2" csCatId="accent1" phldr="1"/>
      <dgm:spPr/>
    </dgm:pt>
    <dgm:pt modelId="{BDDE9B01-F09D-441C-8D86-6E4EC776DE05}">
      <dgm:prSet phldrT="[Text]"/>
      <dgm:spPr>
        <a:xfrm>
          <a:off x="1783080" y="40004"/>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Strategic Economic Plan</a:t>
          </a:r>
        </a:p>
      </dgm:t>
    </dgm:pt>
    <dgm:pt modelId="{9DFA6DBC-CE5A-45D6-B2C1-8DB5DFB6F08C}" type="parTrans" cxnId="{E1A00E5C-84E0-4365-90F3-C250344CDF94}">
      <dgm:prSet/>
      <dgm:spPr/>
      <dgm:t>
        <a:bodyPr/>
        <a:lstStyle/>
        <a:p>
          <a:endParaRPr lang="en-GB"/>
        </a:p>
      </dgm:t>
    </dgm:pt>
    <dgm:pt modelId="{2F5DB51A-54A9-43F6-8F7E-314D64117C08}" type="sibTrans" cxnId="{E1A00E5C-84E0-4365-90F3-C250344CDF94}">
      <dgm:prSet/>
      <dgm:spPr/>
      <dgm:t>
        <a:bodyPr/>
        <a:lstStyle/>
        <a:p>
          <a:endParaRPr lang="en-GB"/>
        </a:p>
      </dgm:t>
    </dgm:pt>
    <dgm:pt modelId="{2D703960-6067-4A9E-A690-0F962C392C86}">
      <dgm:prSet phldrT="[Text]"/>
      <dgm:spPr>
        <a:xfrm>
          <a:off x="2475966" y="1240155"/>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Oxfordshire Joint Spatial Plan</a:t>
          </a:r>
        </a:p>
      </dgm:t>
    </dgm:pt>
    <dgm:pt modelId="{767B542C-1661-49BD-B53A-1B2EDB3AFF4D}" type="parTrans" cxnId="{6701257E-36CE-4937-AEE9-C709DE6E8F74}">
      <dgm:prSet/>
      <dgm:spPr/>
      <dgm:t>
        <a:bodyPr/>
        <a:lstStyle/>
        <a:p>
          <a:endParaRPr lang="en-GB"/>
        </a:p>
      </dgm:t>
    </dgm:pt>
    <dgm:pt modelId="{2162DBF9-C8BA-46DE-84E5-5BB711556A9E}" type="sibTrans" cxnId="{6701257E-36CE-4937-AEE9-C709DE6E8F74}">
      <dgm:prSet/>
      <dgm:spPr/>
      <dgm:t>
        <a:bodyPr/>
        <a:lstStyle/>
        <a:p>
          <a:endParaRPr lang="en-GB"/>
        </a:p>
      </dgm:t>
    </dgm:pt>
    <dgm:pt modelId="{252163DF-0369-4C60-BD41-EE72CE72D15E}">
      <dgm:prSet phldrT="[Text]"/>
      <dgm:spPr>
        <a:xfrm>
          <a:off x="1090193" y="1240155"/>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Oxfordshire Infrastructure Strategy</a:t>
          </a:r>
        </a:p>
      </dgm:t>
    </dgm:pt>
    <dgm:pt modelId="{F93ACFE8-C0B3-41A0-BFB5-43DB867F75DC}" type="parTrans" cxnId="{1E4A8713-311D-4A44-9254-1718816084D0}">
      <dgm:prSet/>
      <dgm:spPr/>
      <dgm:t>
        <a:bodyPr/>
        <a:lstStyle/>
        <a:p>
          <a:endParaRPr lang="en-GB"/>
        </a:p>
      </dgm:t>
    </dgm:pt>
    <dgm:pt modelId="{07E87A29-68A5-44E6-A626-F4B1B15C6C19}" type="sibTrans" cxnId="{1E4A8713-311D-4A44-9254-1718816084D0}">
      <dgm:prSet/>
      <dgm:spPr/>
      <dgm:t>
        <a:bodyPr/>
        <a:lstStyle/>
        <a:p>
          <a:endParaRPr lang="en-GB"/>
        </a:p>
      </dgm:t>
    </dgm:pt>
    <dgm:pt modelId="{AD24D23F-96D3-4D96-9636-EEA20BA364F8}" type="pres">
      <dgm:prSet presAssocID="{A1ADBAD7-1587-41EC-BC15-028D829781EC}" presName="compositeShape" presStyleCnt="0">
        <dgm:presLayoutVars>
          <dgm:chMax val="7"/>
          <dgm:dir/>
          <dgm:resizeHandles val="exact"/>
        </dgm:presLayoutVars>
      </dgm:prSet>
      <dgm:spPr/>
    </dgm:pt>
    <dgm:pt modelId="{846B92A6-D30F-4B60-9686-BD2153BD6283}" type="pres">
      <dgm:prSet presAssocID="{BDDE9B01-F09D-441C-8D86-6E4EC776DE05}" presName="circ1" presStyleLbl="vennNode1" presStyleIdx="0" presStyleCnt="3"/>
      <dgm:spPr>
        <a:prstGeom prst="ellipse">
          <a:avLst/>
        </a:prstGeom>
      </dgm:spPr>
      <dgm:t>
        <a:bodyPr/>
        <a:lstStyle/>
        <a:p>
          <a:endParaRPr lang="en-GB"/>
        </a:p>
      </dgm:t>
    </dgm:pt>
    <dgm:pt modelId="{DF3AED12-F2F1-41D9-BDD5-CEE598A0BEB9}" type="pres">
      <dgm:prSet presAssocID="{BDDE9B01-F09D-441C-8D86-6E4EC776DE05}" presName="circ1Tx" presStyleLbl="revTx" presStyleIdx="0" presStyleCnt="0">
        <dgm:presLayoutVars>
          <dgm:chMax val="0"/>
          <dgm:chPref val="0"/>
          <dgm:bulletEnabled val="1"/>
        </dgm:presLayoutVars>
      </dgm:prSet>
      <dgm:spPr/>
      <dgm:t>
        <a:bodyPr/>
        <a:lstStyle/>
        <a:p>
          <a:endParaRPr lang="en-GB"/>
        </a:p>
      </dgm:t>
    </dgm:pt>
    <dgm:pt modelId="{4C9FB40D-8CC3-422F-A6F2-1640ADA5CDCC}" type="pres">
      <dgm:prSet presAssocID="{2D703960-6067-4A9E-A690-0F962C392C86}" presName="circ2" presStyleLbl="vennNode1" presStyleIdx="1" presStyleCnt="3"/>
      <dgm:spPr>
        <a:prstGeom prst="ellipse">
          <a:avLst/>
        </a:prstGeom>
      </dgm:spPr>
      <dgm:t>
        <a:bodyPr/>
        <a:lstStyle/>
        <a:p>
          <a:endParaRPr lang="en-GB"/>
        </a:p>
      </dgm:t>
    </dgm:pt>
    <dgm:pt modelId="{1CA3186A-5FD7-451C-A40C-3B7EDA623889}" type="pres">
      <dgm:prSet presAssocID="{2D703960-6067-4A9E-A690-0F962C392C86}" presName="circ2Tx" presStyleLbl="revTx" presStyleIdx="0" presStyleCnt="0">
        <dgm:presLayoutVars>
          <dgm:chMax val="0"/>
          <dgm:chPref val="0"/>
          <dgm:bulletEnabled val="1"/>
        </dgm:presLayoutVars>
      </dgm:prSet>
      <dgm:spPr/>
      <dgm:t>
        <a:bodyPr/>
        <a:lstStyle/>
        <a:p>
          <a:endParaRPr lang="en-GB"/>
        </a:p>
      </dgm:t>
    </dgm:pt>
    <dgm:pt modelId="{150B8EED-94E6-4C94-AE2D-7BE0B7D55A66}" type="pres">
      <dgm:prSet presAssocID="{252163DF-0369-4C60-BD41-EE72CE72D15E}" presName="circ3" presStyleLbl="vennNode1" presStyleIdx="2" presStyleCnt="3"/>
      <dgm:spPr>
        <a:prstGeom prst="ellipse">
          <a:avLst/>
        </a:prstGeom>
      </dgm:spPr>
      <dgm:t>
        <a:bodyPr/>
        <a:lstStyle/>
        <a:p>
          <a:endParaRPr lang="en-GB"/>
        </a:p>
      </dgm:t>
    </dgm:pt>
    <dgm:pt modelId="{A9E8818D-F12D-4E3F-A15E-A2BFCFC23EC4}" type="pres">
      <dgm:prSet presAssocID="{252163DF-0369-4C60-BD41-EE72CE72D15E}" presName="circ3Tx" presStyleLbl="revTx" presStyleIdx="0" presStyleCnt="0">
        <dgm:presLayoutVars>
          <dgm:chMax val="0"/>
          <dgm:chPref val="0"/>
          <dgm:bulletEnabled val="1"/>
        </dgm:presLayoutVars>
      </dgm:prSet>
      <dgm:spPr/>
      <dgm:t>
        <a:bodyPr/>
        <a:lstStyle/>
        <a:p>
          <a:endParaRPr lang="en-GB"/>
        </a:p>
      </dgm:t>
    </dgm:pt>
  </dgm:ptLst>
  <dgm:cxnLst>
    <dgm:cxn modelId="{76D3E815-9695-4E37-881C-271EA1EC6E96}" type="presOf" srcId="{2D703960-6067-4A9E-A690-0F962C392C86}" destId="{4C9FB40D-8CC3-422F-A6F2-1640ADA5CDCC}" srcOrd="0" destOrd="0" presId="urn:microsoft.com/office/officeart/2005/8/layout/venn1"/>
    <dgm:cxn modelId="{A5764893-0EC1-4753-B4C6-ECF119E0E136}" type="presOf" srcId="{BDDE9B01-F09D-441C-8D86-6E4EC776DE05}" destId="{846B92A6-D30F-4B60-9686-BD2153BD6283}" srcOrd="0" destOrd="0" presId="urn:microsoft.com/office/officeart/2005/8/layout/venn1"/>
    <dgm:cxn modelId="{D482BBF7-3BFB-4F70-9558-8DD9F0B1ABE9}" type="presOf" srcId="{252163DF-0369-4C60-BD41-EE72CE72D15E}" destId="{150B8EED-94E6-4C94-AE2D-7BE0B7D55A66}" srcOrd="0" destOrd="0" presId="urn:microsoft.com/office/officeart/2005/8/layout/venn1"/>
    <dgm:cxn modelId="{9EDB9A45-7821-43B4-98FC-E889A7BC7EDF}" type="presOf" srcId="{2D703960-6067-4A9E-A690-0F962C392C86}" destId="{1CA3186A-5FD7-451C-A40C-3B7EDA623889}" srcOrd="1" destOrd="0" presId="urn:microsoft.com/office/officeart/2005/8/layout/venn1"/>
    <dgm:cxn modelId="{BA91F87C-DEAE-416F-966D-3E291B5162CD}" type="presOf" srcId="{252163DF-0369-4C60-BD41-EE72CE72D15E}" destId="{A9E8818D-F12D-4E3F-A15E-A2BFCFC23EC4}" srcOrd="1" destOrd="0" presId="urn:microsoft.com/office/officeart/2005/8/layout/venn1"/>
    <dgm:cxn modelId="{E1A00E5C-84E0-4365-90F3-C250344CDF94}" srcId="{A1ADBAD7-1587-41EC-BC15-028D829781EC}" destId="{BDDE9B01-F09D-441C-8D86-6E4EC776DE05}" srcOrd="0" destOrd="0" parTransId="{9DFA6DBC-CE5A-45D6-B2C1-8DB5DFB6F08C}" sibTransId="{2F5DB51A-54A9-43F6-8F7E-314D64117C08}"/>
    <dgm:cxn modelId="{A29D2CB9-15BF-4E35-8DC3-A03714B8C0AE}" type="presOf" srcId="{BDDE9B01-F09D-441C-8D86-6E4EC776DE05}" destId="{DF3AED12-F2F1-41D9-BDD5-CEE598A0BEB9}" srcOrd="1" destOrd="0" presId="urn:microsoft.com/office/officeart/2005/8/layout/venn1"/>
    <dgm:cxn modelId="{1E4A8713-311D-4A44-9254-1718816084D0}" srcId="{A1ADBAD7-1587-41EC-BC15-028D829781EC}" destId="{252163DF-0369-4C60-BD41-EE72CE72D15E}" srcOrd="2" destOrd="0" parTransId="{F93ACFE8-C0B3-41A0-BFB5-43DB867F75DC}" sibTransId="{07E87A29-68A5-44E6-A626-F4B1B15C6C19}"/>
    <dgm:cxn modelId="{6701257E-36CE-4937-AEE9-C709DE6E8F74}" srcId="{A1ADBAD7-1587-41EC-BC15-028D829781EC}" destId="{2D703960-6067-4A9E-A690-0F962C392C86}" srcOrd="1" destOrd="0" parTransId="{767B542C-1661-49BD-B53A-1B2EDB3AFF4D}" sibTransId="{2162DBF9-C8BA-46DE-84E5-5BB711556A9E}"/>
    <dgm:cxn modelId="{0BC39EBD-27AC-4A7E-9F3F-D63DC020931C}" type="presOf" srcId="{A1ADBAD7-1587-41EC-BC15-028D829781EC}" destId="{AD24D23F-96D3-4D96-9636-EEA20BA364F8}" srcOrd="0" destOrd="0" presId="urn:microsoft.com/office/officeart/2005/8/layout/venn1"/>
    <dgm:cxn modelId="{944AFF62-770A-4420-8EAD-33E68921D15F}" type="presParOf" srcId="{AD24D23F-96D3-4D96-9636-EEA20BA364F8}" destId="{846B92A6-D30F-4B60-9686-BD2153BD6283}" srcOrd="0" destOrd="0" presId="urn:microsoft.com/office/officeart/2005/8/layout/venn1"/>
    <dgm:cxn modelId="{87011A40-8A0B-41DE-ADA6-DB8C1E366892}" type="presParOf" srcId="{AD24D23F-96D3-4D96-9636-EEA20BA364F8}" destId="{DF3AED12-F2F1-41D9-BDD5-CEE598A0BEB9}" srcOrd="1" destOrd="0" presId="urn:microsoft.com/office/officeart/2005/8/layout/venn1"/>
    <dgm:cxn modelId="{C73DD446-EB84-4C3F-9BBC-824858477890}" type="presParOf" srcId="{AD24D23F-96D3-4D96-9636-EEA20BA364F8}" destId="{4C9FB40D-8CC3-422F-A6F2-1640ADA5CDCC}" srcOrd="2" destOrd="0" presId="urn:microsoft.com/office/officeart/2005/8/layout/venn1"/>
    <dgm:cxn modelId="{374B815E-20D0-49A7-BE38-85269AAF9CBB}" type="presParOf" srcId="{AD24D23F-96D3-4D96-9636-EEA20BA364F8}" destId="{1CA3186A-5FD7-451C-A40C-3B7EDA623889}" srcOrd="3" destOrd="0" presId="urn:microsoft.com/office/officeart/2005/8/layout/venn1"/>
    <dgm:cxn modelId="{E8703831-3209-4965-B8F2-4F283F779C74}" type="presParOf" srcId="{AD24D23F-96D3-4D96-9636-EEA20BA364F8}" destId="{150B8EED-94E6-4C94-AE2D-7BE0B7D55A66}" srcOrd="4" destOrd="0" presId="urn:microsoft.com/office/officeart/2005/8/layout/venn1"/>
    <dgm:cxn modelId="{5BAB50DD-7FF0-4D6A-AE9F-2D7BE713E774}" type="presParOf" srcId="{AD24D23F-96D3-4D96-9636-EEA20BA364F8}" destId="{A9E8818D-F12D-4E3F-A15E-A2BFCFC23EC4}"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B92A6-D30F-4B60-9686-BD2153BD6283}">
      <dsp:nvSpPr>
        <dsp:cNvPr id="0" name=""/>
        <dsp:cNvSpPr/>
      </dsp:nvSpPr>
      <dsp:spPr>
        <a:xfrm>
          <a:off x="1783080" y="40004"/>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Strategic Economic Plan</a:t>
          </a:r>
        </a:p>
      </dsp:txBody>
      <dsp:txXfrm>
        <a:off x="2039112" y="376046"/>
        <a:ext cx="1408176" cy="864108"/>
      </dsp:txXfrm>
    </dsp:sp>
    <dsp:sp modelId="{4C9FB40D-8CC3-422F-A6F2-1640ADA5CDCC}">
      <dsp:nvSpPr>
        <dsp:cNvPr id="0" name=""/>
        <dsp:cNvSpPr/>
      </dsp:nvSpPr>
      <dsp:spPr>
        <a:xfrm>
          <a:off x="2475966" y="1240155"/>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Oxfordshire Joint Spatial Plan</a:t>
          </a:r>
        </a:p>
      </dsp:txBody>
      <dsp:txXfrm>
        <a:off x="3063240" y="1736216"/>
        <a:ext cx="1152144" cy="1056132"/>
      </dsp:txXfrm>
    </dsp:sp>
    <dsp:sp modelId="{150B8EED-94E6-4C94-AE2D-7BE0B7D55A66}">
      <dsp:nvSpPr>
        <dsp:cNvPr id="0" name=""/>
        <dsp:cNvSpPr/>
      </dsp:nvSpPr>
      <dsp:spPr>
        <a:xfrm>
          <a:off x="1090193" y="1240155"/>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Oxfordshire Infrastructure Strategy</a:t>
          </a:r>
        </a:p>
      </dsp:txBody>
      <dsp:txXfrm>
        <a:off x="1271015" y="1736216"/>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3688-AE09-4BC4-ADAD-CC16BD3E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513BD218</Template>
  <TotalTime>2</TotalTime>
  <Pages>13</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3</cp:revision>
  <cp:lastPrinted>2017-10-05T11:51:00Z</cp:lastPrinted>
  <dcterms:created xsi:type="dcterms:W3CDTF">2017-10-20T14:30:00Z</dcterms:created>
  <dcterms:modified xsi:type="dcterms:W3CDTF">2017-10-20T14:52:00Z</dcterms:modified>
</cp:coreProperties>
</file>